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E9EB" w14:textId="77777777" w:rsidR="00293A77" w:rsidRPr="003337A5" w:rsidRDefault="00293A77">
      <w:pPr>
        <w:spacing w:before="3600"/>
      </w:pPr>
    </w:p>
    <w:p w14:paraId="003AC8CC" w14:textId="77777777" w:rsidR="00293A77" w:rsidRPr="003337A5" w:rsidRDefault="00000000">
      <w:pPr>
        <w:pBdr>
          <w:bottom w:val="single" w:sz="6" w:space="10" w:color="1B4F72"/>
        </w:pBdr>
        <w:spacing w:after="300"/>
        <w:jc w:val="center"/>
        <w:rPr>
          <w:lang w:val="ru-RU"/>
        </w:rPr>
      </w:pPr>
      <w:r w:rsidRPr="003337A5">
        <w:rPr>
          <w:b/>
          <w:bCs/>
          <w:sz w:val="44"/>
          <w:szCs w:val="44"/>
          <w:lang w:val="ru-RU"/>
        </w:rPr>
        <w:t>АНАЛИТИЧЕСКИЙ МАТЕРИАЛ</w:t>
      </w:r>
    </w:p>
    <w:p w14:paraId="6A35E737" w14:textId="77777777" w:rsidR="00293A77" w:rsidRPr="003337A5" w:rsidRDefault="00000000">
      <w:pPr>
        <w:spacing w:before="400" w:after="120"/>
        <w:jc w:val="center"/>
        <w:rPr>
          <w:lang w:val="ru-RU"/>
        </w:rPr>
      </w:pPr>
      <w:r w:rsidRPr="003337A5">
        <w:rPr>
          <w:b/>
          <w:bCs/>
          <w:sz w:val="34"/>
          <w:szCs w:val="34"/>
          <w:lang w:val="ru-RU"/>
        </w:rPr>
        <w:t>Рынок Узбекистана глазами</w:t>
      </w:r>
    </w:p>
    <w:p w14:paraId="30F41029" w14:textId="77777777" w:rsidR="00293A77" w:rsidRPr="003337A5" w:rsidRDefault="00000000">
      <w:pPr>
        <w:spacing w:after="200"/>
        <w:jc w:val="center"/>
        <w:rPr>
          <w:lang w:val="ru-RU"/>
        </w:rPr>
      </w:pPr>
      <w:r w:rsidRPr="003337A5">
        <w:rPr>
          <w:b/>
          <w:bCs/>
          <w:sz w:val="34"/>
          <w:szCs w:val="34"/>
          <w:lang w:val="ru-RU"/>
        </w:rPr>
        <w:t>ведущих консалтинговых компаний</w:t>
      </w:r>
    </w:p>
    <w:p w14:paraId="1E1CBB54" w14:textId="77777777" w:rsidR="00293A77" w:rsidRPr="003337A5" w:rsidRDefault="00000000">
      <w:pPr>
        <w:spacing w:before="200" w:after="100"/>
        <w:jc w:val="center"/>
        <w:rPr>
          <w:lang w:val="ru-RU"/>
        </w:rPr>
      </w:pPr>
      <w:r w:rsidRPr="003337A5">
        <w:rPr>
          <w:sz w:val="24"/>
          <w:szCs w:val="24"/>
          <w:lang w:val="ru-RU"/>
        </w:rPr>
        <w:t xml:space="preserve">На основе публикаций </w:t>
      </w:r>
      <w:r w:rsidRPr="003337A5">
        <w:rPr>
          <w:sz w:val="24"/>
          <w:szCs w:val="24"/>
        </w:rPr>
        <w:t>KPMG</w:t>
      </w:r>
      <w:r w:rsidRPr="003337A5">
        <w:rPr>
          <w:sz w:val="24"/>
          <w:szCs w:val="24"/>
          <w:lang w:val="ru-RU"/>
        </w:rPr>
        <w:t xml:space="preserve">, </w:t>
      </w:r>
      <w:r w:rsidRPr="003337A5">
        <w:rPr>
          <w:sz w:val="24"/>
          <w:szCs w:val="24"/>
        </w:rPr>
        <w:t>EY</w:t>
      </w:r>
      <w:r w:rsidRPr="003337A5">
        <w:rPr>
          <w:sz w:val="24"/>
          <w:szCs w:val="24"/>
          <w:lang w:val="ru-RU"/>
        </w:rPr>
        <w:t xml:space="preserve">, </w:t>
      </w:r>
      <w:r w:rsidRPr="003337A5">
        <w:rPr>
          <w:sz w:val="24"/>
          <w:szCs w:val="24"/>
        </w:rPr>
        <w:t>BCG</w:t>
      </w:r>
      <w:r w:rsidRPr="003337A5">
        <w:rPr>
          <w:sz w:val="24"/>
          <w:szCs w:val="24"/>
          <w:lang w:val="ru-RU"/>
        </w:rPr>
        <w:t xml:space="preserve">, </w:t>
      </w:r>
      <w:r w:rsidRPr="003337A5">
        <w:rPr>
          <w:sz w:val="24"/>
          <w:szCs w:val="24"/>
        </w:rPr>
        <w:t>PwC</w:t>
      </w:r>
    </w:p>
    <w:p w14:paraId="181A88CE" w14:textId="77777777" w:rsidR="00293A77" w:rsidRDefault="00293A77">
      <w:pPr>
        <w:spacing w:before="1500"/>
        <w:rPr>
          <w:sz w:val="24"/>
          <w:szCs w:val="24"/>
          <w:lang w:val="ru-RU"/>
        </w:rPr>
      </w:pPr>
    </w:p>
    <w:p w14:paraId="1933619A" w14:textId="77777777" w:rsidR="003337A5" w:rsidRDefault="003337A5">
      <w:pPr>
        <w:spacing w:before="1500"/>
      </w:pPr>
    </w:p>
    <w:p w14:paraId="03B7F1E8" w14:textId="77777777" w:rsidR="003337A5" w:rsidRPr="003337A5" w:rsidRDefault="003337A5">
      <w:pPr>
        <w:spacing w:before="1500"/>
      </w:pPr>
    </w:p>
    <w:p w14:paraId="4CFF00C1" w14:textId="77777777" w:rsidR="00293A77" w:rsidRPr="003337A5" w:rsidRDefault="00000000">
      <w:pPr>
        <w:jc w:val="center"/>
        <w:rPr>
          <w:lang w:val="ru-RU"/>
        </w:rPr>
      </w:pPr>
      <w:r w:rsidRPr="003337A5">
        <w:rPr>
          <w:i/>
          <w:iCs/>
          <w:lang w:val="ru-RU"/>
        </w:rPr>
        <w:t>Для предпринимателей и инвесторов</w:t>
      </w:r>
    </w:p>
    <w:p w14:paraId="0FC72881" w14:textId="77777777" w:rsidR="003337A5" w:rsidRDefault="003337A5">
      <w:pPr>
        <w:pStyle w:val="Heading1"/>
        <w:spacing w:before="300" w:after="160"/>
        <w:rPr>
          <w:color w:val="auto"/>
        </w:rPr>
      </w:pPr>
    </w:p>
    <w:p w14:paraId="7AC4CBEC" w14:textId="77777777" w:rsidR="003337A5" w:rsidRDefault="003337A5">
      <w:pPr>
        <w:pStyle w:val="Heading1"/>
        <w:spacing w:before="300" w:after="160"/>
        <w:rPr>
          <w:color w:val="auto"/>
        </w:rPr>
      </w:pPr>
    </w:p>
    <w:p w14:paraId="4A387449" w14:textId="77777777" w:rsidR="003337A5" w:rsidRDefault="003337A5">
      <w:pPr>
        <w:pStyle w:val="Heading1"/>
        <w:spacing w:before="300" w:after="160"/>
        <w:rPr>
          <w:color w:val="auto"/>
        </w:rPr>
      </w:pPr>
    </w:p>
    <w:p w14:paraId="7B3C0AE2" w14:textId="77777777" w:rsidR="003337A5" w:rsidRDefault="003337A5">
      <w:pPr>
        <w:pStyle w:val="Heading1"/>
        <w:spacing w:before="300" w:after="160"/>
        <w:rPr>
          <w:color w:val="auto"/>
        </w:rPr>
      </w:pPr>
    </w:p>
    <w:p w14:paraId="3F40139D" w14:textId="599BA2FE" w:rsidR="00293A77" w:rsidRPr="003337A5" w:rsidRDefault="00000000" w:rsidP="003337A5">
      <w:pPr>
        <w:pStyle w:val="Heading1"/>
        <w:spacing w:before="300" w:after="160"/>
        <w:rPr>
          <w:color w:val="auto"/>
          <w:lang w:val="ru-RU"/>
        </w:rPr>
      </w:pPr>
      <w:r w:rsidRPr="003337A5">
        <w:rPr>
          <w:color w:val="auto"/>
          <w:lang w:val="ru-RU"/>
        </w:rPr>
        <w:t>Четыре сценария развития Узбекистана (2025–2035 гг.)</w:t>
      </w:r>
    </w:p>
    <w:p w14:paraId="183D54EA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 xml:space="preserve">Для инвесторов, планирующих долгосрочные стратегии на узбекистанском рынке, аналитики </w:t>
      </w:r>
      <w:r w:rsidRPr="003337A5">
        <w:t>BCG</w:t>
      </w:r>
      <w:r w:rsidRPr="003337A5">
        <w:rPr>
          <w:lang w:val="ru-RU"/>
        </w:rPr>
        <w:t xml:space="preserve"> смоделировали четыре возможных сценария развития страны на период 2025–2035 годов, которые зависят от мирового спроса на сырьё и уровня глобальных торговых барьеров:</w:t>
      </w:r>
    </w:p>
    <w:p w14:paraId="03EF578C" w14:textId="77777777" w:rsidR="00293A77" w:rsidRPr="003337A5" w:rsidRDefault="00000000">
      <w:pPr>
        <w:pStyle w:val="Heading3"/>
        <w:spacing w:before="300" w:after="160"/>
        <w:rPr>
          <w:color w:val="auto"/>
        </w:rPr>
      </w:pPr>
      <w:proofErr w:type="spellStart"/>
      <w:r w:rsidRPr="003337A5">
        <w:rPr>
          <w:color w:val="auto"/>
        </w:rPr>
        <w:t>Эра</w:t>
      </w:r>
      <w:proofErr w:type="spellEnd"/>
      <w:r w:rsidRPr="003337A5">
        <w:rPr>
          <w:color w:val="auto"/>
        </w:rPr>
        <w:t xml:space="preserve"> </w:t>
      </w:r>
      <w:proofErr w:type="spellStart"/>
      <w:r w:rsidRPr="003337A5">
        <w:rPr>
          <w:color w:val="auto"/>
        </w:rPr>
        <w:t>сложных</w:t>
      </w:r>
      <w:proofErr w:type="spellEnd"/>
      <w:r w:rsidRPr="003337A5">
        <w:rPr>
          <w:color w:val="auto"/>
        </w:rPr>
        <w:t xml:space="preserve"> </w:t>
      </w:r>
      <w:proofErr w:type="spellStart"/>
      <w:r w:rsidRPr="003337A5">
        <w:rPr>
          <w:color w:val="auto"/>
        </w:rPr>
        <w:t>сделок</w:t>
      </w:r>
      <w:proofErr w:type="spellEnd"/>
      <w:r w:rsidRPr="003337A5">
        <w:rPr>
          <w:color w:val="auto"/>
        </w:rPr>
        <w:t xml:space="preserve"> (Era of Complex Deals)</w:t>
      </w:r>
    </w:p>
    <w:p w14:paraId="0FFE54BA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 xml:space="preserve">Это наиболее благоприятный сценарий, при котором страна получает возможность одновременно развивать как свою сырьевую базу, так и обрабатывающую промышленность. Иностранный капитал привлекается через структурированные долгосрочные инвестиции, обязательным условием которых является жёсткая привязка к локализации производства на территории Узбекистана и трансферу высоких технологий. В этом сценарии инвесторам необходимо создавать совместные предприятия и интегрировать локальных специалистов в </w:t>
      </w:r>
      <w:r w:rsidRPr="003337A5">
        <w:t>R</w:t>
      </w:r>
      <w:r w:rsidRPr="003337A5">
        <w:rPr>
          <w:lang w:val="ru-RU"/>
        </w:rPr>
        <w:t>&amp;</w:t>
      </w:r>
      <w:r w:rsidRPr="003337A5">
        <w:t>D</w:t>
      </w:r>
      <w:r w:rsidRPr="003337A5">
        <w:rPr>
          <w:lang w:val="ru-RU"/>
        </w:rPr>
        <w:t xml:space="preserve"> процессы.</w:t>
      </w:r>
    </w:p>
    <w:p w14:paraId="2B052642" w14:textId="77777777" w:rsidR="00293A77" w:rsidRPr="003337A5" w:rsidRDefault="00000000">
      <w:pPr>
        <w:pStyle w:val="Heading3"/>
        <w:spacing w:before="300" w:after="160"/>
        <w:rPr>
          <w:color w:val="auto"/>
        </w:rPr>
      </w:pPr>
      <w:proofErr w:type="spellStart"/>
      <w:r w:rsidRPr="003337A5">
        <w:rPr>
          <w:color w:val="auto"/>
        </w:rPr>
        <w:t>Ренессанс</w:t>
      </w:r>
      <w:proofErr w:type="spellEnd"/>
      <w:r w:rsidRPr="003337A5">
        <w:rPr>
          <w:color w:val="auto"/>
        </w:rPr>
        <w:t xml:space="preserve"> </w:t>
      </w:r>
      <w:proofErr w:type="spellStart"/>
      <w:r w:rsidRPr="003337A5">
        <w:rPr>
          <w:color w:val="auto"/>
        </w:rPr>
        <w:t>посредничества</w:t>
      </w:r>
      <w:proofErr w:type="spellEnd"/>
      <w:r w:rsidRPr="003337A5">
        <w:rPr>
          <w:color w:val="auto"/>
        </w:rPr>
        <w:t xml:space="preserve"> (Renaissance of Mediation)</w:t>
      </w:r>
    </w:p>
    <w:p w14:paraId="7F997EC6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>Данный сценарий актуализируется в случае высоких торговых барьеров в мире при умеренном спросе на ресурсы. Узбекистан максимизирует свои возможности в сфере логистики, расширяя экспортные инициативы и проекты по промежуточной переработке товаров, выступая связующим узлом в фрагментированных глобальных цепочках поставок.</w:t>
      </w:r>
    </w:p>
    <w:p w14:paraId="3EA1791A" w14:textId="77777777" w:rsidR="00293A77" w:rsidRPr="003337A5" w:rsidRDefault="00000000">
      <w:pPr>
        <w:pStyle w:val="Heading3"/>
        <w:spacing w:before="300" w:after="160"/>
        <w:rPr>
          <w:color w:val="auto"/>
          <w:lang w:val="ru-RU"/>
        </w:rPr>
      </w:pPr>
      <w:r w:rsidRPr="003337A5">
        <w:rPr>
          <w:color w:val="auto"/>
          <w:lang w:val="ru-RU"/>
        </w:rPr>
        <w:t>Клондайк (</w:t>
      </w:r>
      <w:r w:rsidRPr="003337A5">
        <w:rPr>
          <w:color w:val="auto"/>
        </w:rPr>
        <w:t>Klondike</w:t>
      </w:r>
      <w:r w:rsidRPr="003337A5">
        <w:rPr>
          <w:color w:val="auto"/>
          <w:lang w:val="ru-RU"/>
        </w:rPr>
        <w:t>)</w:t>
      </w:r>
    </w:p>
    <w:p w14:paraId="53AFA7FF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>Сценарий классического сырьевого бума. Высокий глобальный спрос на ресурсы (медь, уран, золото) стимулирует бурный рост добывающего сектора экономики. Риск этого сценария заключается в том, что сверхдоходы от сырья ограничивают общую диверсификацию экономики, так как капитал концентрируется исключительно в капиталоёмких добывающих проектах, оставляя технологические и сервисные отрасли недофинансированными.</w:t>
      </w:r>
    </w:p>
    <w:p w14:paraId="14CCBB67" w14:textId="77777777" w:rsidR="00293A77" w:rsidRPr="003337A5" w:rsidRDefault="00000000">
      <w:pPr>
        <w:pStyle w:val="Heading3"/>
        <w:spacing w:before="300" w:after="160"/>
        <w:rPr>
          <w:color w:val="auto"/>
          <w:lang w:val="ru-RU"/>
        </w:rPr>
      </w:pPr>
      <w:r w:rsidRPr="003337A5">
        <w:rPr>
          <w:color w:val="auto"/>
          <w:lang w:val="ru-RU"/>
        </w:rPr>
        <w:t>Штиль (</w:t>
      </w:r>
      <w:r w:rsidRPr="003337A5">
        <w:rPr>
          <w:color w:val="auto"/>
        </w:rPr>
        <w:t>Calm</w:t>
      </w:r>
      <w:r w:rsidRPr="003337A5">
        <w:rPr>
          <w:color w:val="auto"/>
          <w:lang w:val="ru-RU"/>
        </w:rPr>
        <w:t>)</w:t>
      </w:r>
    </w:p>
    <w:p w14:paraId="0D3E2920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>Наиболее пессимистичный сценарий, предполагающий существенное замедление экономического роста из-за рецессионных процессов в мире. В этой ситуации ключевым механизмом выживания для корпоративного сектора и государства становится форсированная региональная кооперация, объединение рынков сбыта внутри Центральной Азии и строгий контроль операционных издержек.</w:t>
      </w:r>
    </w:p>
    <w:p w14:paraId="24BC67C6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b/>
          <w:bCs/>
          <w:lang w:val="ru-RU"/>
        </w:rPr>
        <w:lastRenderedPageBreak/>
        <w:t xml:space="preserve">Учитывая, что неопределённость стала нормой, </w:t>
      </w:r>
      <w:r w:rsidRPr="003337A5">
        <w:rPr>
          <w:b/>
          <w:bCs/>
        </w:rPr>
        <w:t>BCG</w:t>
      </w:r>
      <w:r w:rsidRPr="003337A5">
        <w:rPr>
          <w:b/>
          <w:bCs/>
          <w:lang w:val="ru-RU"/>
        </w:rPr>
        <w:t xml:space="preserve"> рекомендует правительству и инвесторам планировать деятельность с учётом множественных сценариев, используя систему ранних индикаторов и механизмов адаптации.</w:t>
      </w:r>
    </w:p>
    <w:p w14:paraId="6AE5E4C7" w14:textId="77777777" w:rsidR="00293A77" w:rsidRPr="003337A5" w:rsidRDefault="00000000">
      <w:pPr>
        <w:spacing w:before="80" w:after="160"/>
      </w:pPr>
      <w:proofErr w:type="spellStart"/>
      <w:r w:rsidRPr="003337A5">
        <w:rPr>
          <w:i/>
          <w:iCs/>
          <w:sz w:val="18"/>
          <w:szCs w:val="18"/>
        </w:rPr>
        <w:t>Источник</w:t>
      </w:r>
      <w:proofErr w:type="spellEnd"/>
      <w:r w:rsidRPr="003337A5">
        <w:rPr>
          <w:i/>
          <w:iCs/>
          <w:sz w:val="18"/>
          <w:szCs w:val="18"/>
        </w:rPr>
        <w:t xml:space="preserve">: BCG, «Why Investors Are Turning to Central Asia and </w:t>
      </w:r>
      <w:proofErr w:type="gramStart"/>
      <w:r w:rsidRPr="003337A5">
        <w:rPr>
          <w:i/>
          <w:iCs/>
          <w:sz w:val="18"/>
          <w:szCs w:val="18"/>
        </w:rPr>
        <w:t xml:space="preserve">Caspian», </w:t>
      </w:r>
      <w:proofErr w:type="spellStart"/>
      <w:r w:rsidRPr="003337A5">
        <w:rPr>
          <w:i/>
          <w:iCs/>
          <w:sz w:val="18"/>
          <w:szCs w:val="18"/>
        </w:rPr>
        <w:t>сентябрь</w:t>
      </w:r>
      <w:proofErr w:type="spellEnd"/>
      <w:proofErr w:type="gramEnd"/>
      <w:r w:rsidRPr="003337A5">
        <w:rPr>
          <w:i/>
          <w:iCs/>
          <w:sz w:val="18"/>
          <w:szCs w:val="18"/>
        </w:rPr>
        <w:t xml:space="preserve"> 2025</w:t>
      </w:r>
    </w:p>
    <w:p w14:paraId="10869BEF" w14:textId="77777777" w:rsidR="00293A77" w:rsidRPr="003337A5" w:rsidRDefault="00000000">
      <w:r w:rsidRPr="003337A5">
        <w:br w:type="page"/>
      </w:r>
    </w:p>
    <w:p w14:paraId="2F7776BF" w14:textId="48009687" w:rsidR="00293A77" w:rsidRPr="003337A5" w:rsidRDefault="00000000" w:rsidP="003337A5">
      <w:pPr>
        <w:pStyle w:val="Heading1"/>
        <w:spacing w:before="300" w:after="160"/>
        <w:rPr>
          <w:color w:val="auto"/>
          <w:lang w:val="ru-RU"/>
        </w:rPr>
      </w:pPr>
      <w:r w:rsidRPr="003337A5">
        <w:rPr>
          <w:color w:val="auto"/>
          <w:lang w:val="ru-RU"/>
        </w:rPr>
        <w:lastRenderedPageBreak/>
        <w:t>Новая эра глобальной мобильности и управления талантами</w:t>
      </w:r>
    </w:p>
    <w:p w14:paraId="15135B46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 xml:space="preserve">На фоне технологического бума и геополитических сдвигов, проблемы привлечения и удержания квалифицированных кадров в развивающихся регионах, таких как Центральная Азия и Кавказ, приобрели критический характер. Опубликованный в 2026 году масштабный отчёт </w:t>
      </w:r>
      <w:r w:rsidRPr="003337A5">
        <w:t>KPMG</w:t>
      </w:r>
      <w:r w:rsidRPr="003337A5">
        <w:rPr>
          <w:lang w:val="ru-RU"/>
        </w:rPr>
        <w:t xml:space="preserve"> «2025/2026 </w:t>
      </w:r>
      <w:r w:rsidRPr="003337A5">
        <w:t>Global</w:t>
      </w:r>
      <w:r w:rsidRPr="003337A5">
        <w:rPr>
          <w:lang w:val="ru-RU"/>
        </w:rPr>
        <w:t xml:space="preserve"> </w:t>
      </w:r>
      <w:r w:rsidRPr="003337A5">
        <w:t>Mobility</w:t>
      </w:r>
      <w:r w:rsidRPr="003337A5">
        <w:rPr>
          <w:lang w:val="ru-RU"/>
        </w:rPr>
        <w:t xml:space="preserve"> </w:t>
      </w:r>
      <w:r w:rsidRPr="003337A5">
        <w:t>Benchmarking</w:t>
      </w:r>
      <w:r w:rsidRPr="003337A5">
        <w:rPr>
          <w:lang w:val="ru-RU"/>
        </w:rPr>
        <w:t xml:space="preserve"> </w:t>
      </w:r>
      <w:r w:rsidRPr="003337A5">
        <w:t>Report</w:t>
      </w:r>
      <w:r w:rsidRPr="003337A5">
        <w:rPr>
          <w:lang w:val="ru-RU"/>
        </w:rPr>
        <w:t>» предоставляет исчерпывающую аналитику на основе опроса 456 транснациональных предприятий из 12 отраслей, работающих в 29 юрисдикциях.</w:t>
      </w:r>
    </w:p>
    <w:p w14:paraId="22A156C3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 xml:space="preserve">Как отмечают партнёры </w:t>
      </w:r>
      <w:r w:rsidRPr="003337A5">
        <w:t>KPMG</w:t>
      </w:r>
      <w:r w:rsidRPr="003337A5">
        <w:rPr>
          <w:lang w:val="ru-RU"/>
        </w:rPr>
        <w:t xml:space="preserve"> Каха Рухадзе и Сардор Шерматов, быстрая международная экспансия корпораций в Центральной Азии привела к жесточайшей конкуренции за таланты. </w:t>
      </w:r>
      <w:proofErr w:type="spellStart"/>
      <w:r w:rsidRPr="003337A5">
        <w:t>Сегодня</w:t>
      </w:r>
      <w:proofErr w:type="spellEnd"/>
      <w:r w:rsidRPr="003337A5">
        <w:t xml:space="preserve"> 82% </w:t>
      </w:r>
      <w:proofErr w:type="spellStart"/>
      <w:r w:rsidRPr="003337A5">
        <w:t>руководителей</w:t>
      </w:r>
      <w:proofErr w:type="spellEnd"/>
      <w:r w:rsidRPr="003337A5">
        <w:t xml:space="preserve"> </w:t>
      </w:r>
      <w:proofErr w:type="spellStart"/>
      <w:r w:rsidRPr="003337A5">
        <w:t>направлений</w:t>
      </w:r>
      <w:proofErr w:type="spellEnd"/>
      <w:r w:rsidRPr="003337A5">
        <w:t xml:space="preserve"> </w:t>
      </w:r>
      <w:proofErr w:type="spellStart"/>
      <w:r w:rsidRPr="003337A5">
        <w:t>мобильности</w:t>
      </w:r>
      <w:proofErr w:type="spellEnd"/>
      <w:r w:rsidRPr="003337A5">
        <w:t xml:space="preserve"> </w:t>
      </w:r>
      <w:proofErr w:type="spellStart"/>
      <w:r w:rsidRPr="003337A5">
        <w:t>называют</w:t>
      </w:r>
      <w:proofErr w:type="spellEnd"/>
      <w:r w:rsidRPr="003337A5">
        <w:t xml:space="preserve"> </w:t>
      </w:r>
      <w:proofErr w:type="spellStart"/>
      <w:r w:rsidRPr="003337A5">
        <w:t>демонстрацию</w:t>
      </w:r>
      <w:proofErr w:type="spellEnd"/>
      <w:r w:rsidRPr="003337A5">
        <w:t xml:space="preserve"> ROI </w:t>
      </w:r>
      <w:proofErr w:type="spellStart"/>
      <w:r w:rsidRPr="003337A5">
        <w:t>главным</w:t>
      </w:r>
      <w:proofErr w:type="spellEnd"/>
      <w:r w:rsidRPr="003337A5">
        <w:t xml:space="preserve"> </w:t>
      </w:r>
      <w:proofErr w:type="spellStart"/>
      <w:r w:rsidRPr="003337A5">
        <w:t>вызовом</w:t>
      </w:r>
      <w:proofErr w:type="spellEnd"/>
      <w:r w:rsidRPr="003337A5">
        <w:t xml:space="preserve">. </w:t>
      </w:r>
      <w:r w:rsidRPr="003337A5">
        <w:rPr>
          <w:lang w:val="ru-RU"/>
        </w:rPr>
        <w:t>60% компаний активно используют краткосрочные проектные назначения. 43% организаций делегировали рутинные задачи ИИ, а 62% планируют масштабные инвестиции в технологии в 2026 году (против 31% в 2025). Главное препятствие — качество данных: 72% испытывают трудности, 55% жалуются на фрагментацию.</w:t>
      </w:r>
    </w:p>
    <w:p w14:paraId="228A3183" w14:textId="77777777" w:rsidR="00293A77" w:rsidRPr="003337A5" w:rsidRDefault="00000000">
      <w:pPr>
        <w:pStyle w:val="Heading2"/>
        <w:spacing w:before="300"/>
        <w:rPr>
          <w:color w:val="auto"/>
          <w:lang w:val="ru-RU"/>
        </w:rPr>
      </w:pPr>
      <w:r w:rsidRPr="003337A5">
        <w:rPr>
          <w:color w:val="auto"/>
          <w:lang w:val="ru-RU"/>
        </w:rPr>
        <w:t xml:space="preserve">Шесть стратегических императивов </w:t>
      </w:r>
      <w:r w:rsidRPr="003337A5">
        <w:rPr>
          <w:color w:val="auto"/>
        </w:rPr>
        <w:t>KPMG</w:t>
      </w:r>
      <w:r w:rsidRPr="003337A5">
        <w:rPr>
          <w:color w:val="auto"/>
          <w:lang w:val="ru-RU"/>
        </w:rPr>
        <w:t xml:space="preserve"> (</w:t>
      </w:r>
      <w:r w:rsidRPr="003337A5">
        <w:rPr>
          <w:color w:val="auto"/>
        </w:rPr>
        <w:t>Six</w:t>
      </w:r>
      <w:r w:rsidRPr="003337A5">
        <w:rPr>
          <w:color w:val="auto"/>
          <w:lang w:val="ru-RU"/>
        </w:rPr>
        <w:t xml:space="preserve"> </w:t>
      </w:r>
      <w:r w:rsidRPr="003337A5">
        <w:rPr>
          <w:color w:val="auto"/>
        </w:rPr>
        <w:t>Imperatives</w:t>
      </w:r>
      <w:r w:rsidRPr="003337A5">
        <w:rPr>
          <w:color w:val="auto"/>
          <w:lang w:val="ru-RU"/>
        </w:rPr>
        <w:t>)</w:t>
      </w:r>
    </w:p>
    <w:p w14:paraId="2A9A2AAF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</w:rPr>
        <w:t>Set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the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Vision</w:t>
      </w:r>
      <w:r w:rsidRPr="003337A5">
        <w:rPr>
          <w:b/>
          <w:bCs/>
          <w:lang w:val="ru-RU"/>
        </w:rPr>
        <w:t xml:space="preserve">: </w:t>
      </w:r>
      <w:r w:rsidRPr="003337A5">
        <w:rPr>
          <w:lang w:val="ru-RU"/>
        </w:rPr>
        <w:t>рост ценности с 6,0 до 7,1 балла за 12–18 мес.</w:t>
      </w:r>
    </w:p>
    <w:p w14:paraId="776448F9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</w:rPr>
        <w:t>Show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the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Impact</w:t>
      </w:r>
      <w:r w:rsidRPr="003337A5">
        <w:rPr>
          <w:b/>
          <w:bCs/>
          <w:lang w:val="ru-RU"/>
        </w:rPr>
        <w:t xml:space="preserve"> / </w:t>
      </w:r>
      <w:r w:rsidRPr="003337A5">
        <w:rPr>
          <w:b/>
          <w:bCs/>
        </w:rPr>
        <w:t>ROI</w:t>
      </w:r>
      <w:r w:rsidRPr="003337A5">
        <w:rPr>
          <w:b/>
          <w:bCs/>
          <w:lang w:val="ru-RU"/>
        </w:rPr>
        <w:t xml:space="preserve">: </w:t>
      </w:r>
      <w:r w:rsidRPr="003337A5">
        <w:rPr>
          <w:lang w:val="ru-RU"/>
        </w:rPr>
        <w:t>отказ от модели сокращения затрат в пользу реального финансового результата.</w:t>
      </w:r>
    </w:p>
    <w:p w14:paraId="5D506AA5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</w:rPr>
        <w:t>Empower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the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Team</w:t>
      </w:r>
      <w:r w:rsidRPr="003337A5">
        <w:rPr>
          <w:b/>
          <w:bCs/>
          <w:lang w:val="ru-RU"/>
        </w:rPr>
        <w:t xml:space="preserve">: </w:t>
      </w:r>
      <w:r w:rsidRPr="003337A5">
        <w:t>upskilling</w:t>
      </w:r>
      <w:r w:rsidRPr="003337A5">
        <w:rPr>
          <w:lang w:val="ru-RU"/>
        </w:rPr>
        <w:t xml:space="preserve"> </w:t>
      </w:r>
      <w:r w:rsidRPr="003337A5">
        <w:t>HR</w:t>
      </w:r>
      <w:r w:rsidRPr="003337A5">
        <w:rPr>
          <w:lang w:val="ru-RU"/>
        </w:rPr>
        <w:t xml:space="preserve"> (приоритет 29% руководителей), 79% отмечают сильное сотрудничество с провайдерами.</w:t>
      </w:r>
    </w:p>
    <w:p w14:paraId="7118353F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</w:rPr>
        <w:t>Activate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AI</w:t>
      </w:r>
      <w:r w:rsidRPr="003337A5">
        <w:rPr>
          <w:b/>
          <w:bCs/>
          <w:lang w:val="ru-RU"/>
        </w:rPr>
        <w:t xml:space="preserve">: </w:t>
      </w:r>
      <w:r w:rsidRPr="003337A5">
        <w:rPr>
          <w:lang w:val="ru-RU"/>
        </w:rPr>
        <w:t xml:space="preserve">консолидация баз данных через современные </w:t>
      </w:r>
      <w:r w:rsidRPr="003337A5">
        <w:t>HRIS</w:t>
      </w:r>
      <w:r w:rsidRPr="003337A5">
        <w:rPr>
          <w:lang w:val="ru-RU"/>
        </w:rPr>
        <w:t>-платформы.</w:t>
      </w:r>
    </w:p>
    <w:p w14:paraId="48BFB503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</w:rPr>
        <w:t>Redefine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Policy</w:t>
      </w:r>
      <w:r w:rsidRPr="003337A5">
        <w:rPr>
          <w:b/>
          <w:bCs/>
          <w:lang w:val="ru-RU"/>
        </w:rPr>
        <w:t xml:space="preserve">: </w:t>
      </w:r>
      <w:r w:rsidRPr="003337A5">
        <w:rPr>
          <w:lang w:val="ru-RU"/>
        </w:rPr>
        <w:t xml:space="preserve">42% пересмотрели правила, легализовав удалёнку и адаптировав </w:t>
      </w:r>
      <w:r w:rsidRPr="003337A5">
        <w:t>DEI</w:t>
      </w:r>
      <w:r w:rsidRPr="003337A5">
        <w:rPr>
          <w:lang w:val="ru-RU"/>
        </w:rPr>
        <w:t>.</w:t>
      </w:r>
    </w:p>
    <w:p w14:paraId="7D900921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</w:rPr>
        <w:t>Elevate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Experience</w:t>
      </w:r>
      <w:r w:rsidRPr="003337A5">
        <w:rPr>
          <w:b/>
          <w:bCs/>
          <w:lang w:val="ru-RU"/>
        </w:rPr>
        <w:t xml:space="preserve">: </w:t>
      </w:r>
      <w:r w:rsidRPr="003337A5">
        <w:rPr>
          <w:lang w:val="ru-RU"/>
        </w:rPr>
        <w:t>лишь 25% системно отслеживают удовлетворённость персонала.</w:t>
      </w:r>
    </w:p>
    <w:p w14:paraId="19BB3D6A" w14:textId="77777777" w:rsidR="00293A77" w:rsidRPr="003337A5" w:rsidRDefault="00000000">
      <w:pPr>
        <w:spacing w:before="80" w:after="160"/>
      </w:pPr>
      <w:proofErr w:type="spellStart"/>
      <w:r w:rsidRPr="003337A5">
        <w:rPr>
          <w:i/>
          <w:iCs/>
          <w:sz w:val="18"/>
          <w:szCs w:val="18"/>
        </w:rPr>
        <w:t>Источник</w:t>
      </w:r>
      <w:proofErr w:type="spellEnd"/>
      <w:r w:rsidRPr="003337A5">
        <w:rPr>
          <w:i/>
          <w:iCs/>
          <w:sz w:val="18"/>
          <w:szCs w:val="18"/>
        </w:rPr>
        <w:t xml:space="preserve">: KPMG, «2025/2026 Global Mobility Benchmarking Report», </w:t>
      </w:r>
      <w:proofErr w:type="spellStart"/>
      <w:r w:rsidRPr="003337A5">
        <w:rPr>
          <w:i/>
          <w:iCs/>
          <w:sz w:val="18"/>
          <w:szCs w:val="18"/>
        </w:rPr>
        <w:t>февраль</w:t>
      </w:r>
      <w:proofErr w:type="spellEnd"/>
      <w:r w:rsidRPr="003337A5">
        <w:rPr>
          <w:i/>
          <w:iCs/>
          <w:sz w:val="18"/>
          <w:szCs w:val="18"/>
        </w:rPr>
        <w:t xml:space="preserve"> 2026 https://kpmg.com/uz/en/insights/2026/02/global-mobility-benchmarking-report.html</w:t>
      </w:r>
    </w:p>
    <w:p w14:paraId="2B10E9E0" w14:textId="53653B0D" w:rsidR="00293A77" w:rsidRDefault="00000000" w:rsidP="003337A5">
      <w:pPr>
        <w:rPr>
          <w:b/>
          <w:bCs/>
          <w:sz w:val="34"/>
          <w:szCs w:val="34"/>
        </w:rPr>
      </w:pPr>
      <w:r w:rsidRPr="003337A5">
        <w:br w:type="page"/>
      </w:r>
    </w:p>
    <w:p w14:paraId="7D4337A6" w14:textId="5F847ABA" w:rsidR="00293A77" w:rsidRPr="003337A5" w:rsidRDefault="00000000" w:rsidP="003337A5">
      <w:pPr>
        <w:pStyle w:val="Heading1"/>
        <w:spacing w:before="300" w:after="160"/>
        <w:rPr>
          <w:color w:val="auto"/>
          <w:lang w:val="ru-RU"/>
        </w:rPr>
      </w:pPr>
      <w:r w:rsidRPr="003337A5">
        <w:rPr>
          <w:color w:val="auto"/>
        </w:rPr>
        <w:lastRenderedPageBreak/>
        <w:t>EY: «Doing Business in Uzbekistan 2026»</w:t>
      </w:r>
    </w:p>
    <w:p w14:paraId="16BAC867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 xml:space="preserve">В апреле 2026 года </w:t>
      </w:r>
      <w:r w:rsidRPr="003337A5">
        <w:t>EY</w:t>
      </w:r>
      <w:r w:rsidRPr="003337A5">
        <w:rPr>
          <w:lang w:val="ru-RU"/>
        </w:rPr>
        <w:t xml:space="preserve"> опубликовала обновлённый справочник для иностранных инвесторов «</w:t>
      </w:r>
      <w:r w:rsidRPr="003337A5">
        <w:t>Doing</w:t>
      </w:r>
      <w:r w:rsidRPr="003337A5">
        <w:rPr>
          <w:lang w:val="ru-RU"/>
        </w:rPr>
        <w:t xml:space="preserve"> </w:t>
      </w:r>
      <w:r w:rsidRPr="003337A5">
        <w:t>Business</w:t>
      </w:r>
      <w:r w:rsidRPr="003337A5">
        <w:rPr>
          <w:lang w:val="ru-RU"/>
        </w:rPr>
        <w:t xml:space="preserve"> </w:t>
      </w:r>
      <w:r w:rsidRPr="003337A5">
        <w:t>in</w:t>
      </w:r>
      <w:r w:rsidRPr="003337A5">
        <w:rPr>
          <w:lang w:val="ru-RU"/>
        </w:rPr>
        <w:t xml:space="preserve"> </w:t>
      </w:r>
      <w:r w:rsidRPr="003337A5">
        <w:t>Uzbekistan</w:t>
      </w:r>
      <w:r w:rsidRPr="003337A5">
        <w:rPr>
          <w:lang w:val="ru-RU"/>
        </w:rPr>
        <w:t xml:space="preserve"> 2026» — полное руководство по налогам и регулированию, актуальное на 1 января 2026 года. Ключевые данные:</w:t>
      </w:r>
    </w:p>
    <w:p w14:paraId="16A6DCE1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</w:pPr>
      <w:proofErr w:type="spellStart"/>
      <w:r w:rsidRPr="003337A5">
        <w:rPr>
          <w:b/>
          <w:bCs/>
        </w:rPr>
        <w:t>Население</w:t>
      </w:r>
      <w:proofErr w:type="spellEnd"/>
      <w:r w:rsidRPr="003337A5">
        <w:rPr>
          <w:b/>
          <w:bCs/>
        </w:rPr>
        <w:t xml:space="preserve">: </w:t>
      </w:r>
      <w:r w:rsidRPr="003337A5">
        <w:t xml:space="preserve">38,2 </w:t>
      </w:r>
      <w:proofErr w:type="spellStart"/>
      <w:r w:rsidRPr="003337A5">
        <w:t>млн</w:t>
      </w:r>
      <w:proofErr w:type="spellEnd"/>
      <w:r w:rsidRPr="003337A5">
        <w:t xml:space="preserve"> </w:t>
      </w:r>
      <w:proofErr w:type="spellStart"/>
      <w:r w:rsidRPr="003337A5">
        <w:t>человек</w:t>
      </w:r>
      <w:proofErr w:type="spellEnd"/>
    </w:p>
    <w:p w14:paraId="1A7465D4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</w:pPr>
      <w:proofErr w:type="spellStart"/>
      <w:r w:rsidRPr="003337A5">
        <w:rPr>
          <w:b/>
          <w:bCs/>
        </w:rPr>
        <w:t>Курс</w:t>
      </w:r>
      <w:proofErr w:type="spellEnd"/>
      <w:r w:rsidRPr="003337A5">
        <w:rPr>
          <w:b/>
          <w:bCs/>
        </w:rPr>
        <w:t xml:space="preserve"> USD/UZS: </w:t>
      </w:r>
      <w:r w:rsidRPr="003337A5">
        <w:t>12 025,33 (</w:t>
      </w:r>
      <w:proofErr w:type="spellStart"/>
      <w:r w:rsidRPr="003337A5">
        <w:t>на</w:t>
      </w:r>
      <w:proofErr w:type="spellEnd"/>
      <w:r w:rsidRPr="003337A5">
        <w:t xml:space="preserve"> 01.01.2026)</w:t>
      </w:r>
    </w:p>
    <w:p w14:paraId="7E73316E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  <w:lang w:val="ru-RU"/>
        </w:rPr>
        <w:t xml:space="preserve">Налог на прибыль: </w:t>
      </w:r>
      <w:r w:rsidRPr="003337A5">
        <w:rPr>
          <w:lang w:val="ru-RU"/>
        </w:rPr>
        <w:t>15% (базовая), 20% для банков/телеком/цемент/полиэтилен, 7,5% общепит</w:t>
      </w:r>
    </w:p>
    <w:p w14:paraId="243C4ABD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</w:pPr>
      <w:r w:rsidRPr="003337A5">
        <w:rPr>
          <w:b/>
          <w:bCs/>
        </w:rPr>
        <w:t xml:space="preserve">НДС: </w:t>
      </w:r>
      <w:r w:rsidRPr="003337A5">
        <w:t xml:space="preserve">12%, </w:t>
      </w:r>
      <w:proofErr w:type="spellStart"/>
      <w:r w:rsidRPr="003337A5">
        <w:t>экспорт</w:t>
      </w:r>
      <w:proofErr w:type="spellEnd"/>
      <w:r w:rsidRPr="003337A5">
        <w:t xml:space="preserve"> — 0%, </w:t>
      </w:r>
      <w:proofErr w:type="spellStart"/>
      <w:r w:rsidRPr="003337A5">
        <w:t>сельхозпродукция</w:t>
      </w:r>
      <w:proofErr w:type="spellEnd"/>
      <w:r w:rsidRPr="003337A5">
        <w:t xml:space="preserve"> — 0% (с 01.01.2026)</w:t>
      </w:r>
    </w:p>
    <w:p w14:paraId="380BFF37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</w:pPr>
      <w:r w:rsidRPr="003337A5">
        <w:rPr>
          <w:b/>
          <w:bCs/>
        </w:rPr>
        <w:t xml:space="preserve">НДФЛ: </w:t>
      </w:r>
      <w:r w:rsidRPr="003337A5">
        <w:t>12% (</w:t>
      </w:r>
      <w:proofErr w:type="spellStart"/>
      <w:r w:rsidRPr="003337A5">
        <w:t>плоская</w:t>
      </w:r>
      <w:proofErr w:type="spellEnd"/>
      <w:r w:rsidRPr="003337A5">
        <w:t xml:space="preserve"> </w:t>
      </w:r>
      <w:proofErr w:type="spellStart"/>
      <w:r w:rsidRPr="003337A5">
        <w:t>шкала</w:t>
      </w:r>
      <w:proofErr w:type="spellEnd"/>
      <w:r w:rsidRPr="003337A5">
        <w:t>)</w:t>
      </w:r>
    </w:p>
    <w:p w14:paraId="3F4AB08E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  <w:lang w:val="ru-RU"/>
        </w:rPr>
        <w:t xml:space="preserve">Инвестиционная виза: </w:t>
      </w:r>
      <w:r w:rsidRPr="003337A5">
        <w:rPr>
          <w:lang w:val="ru-RU"/>
        </w:rPr>
        <w:t>от $3 млн — вид на жительство до 10 лет</w:t>
      </w:r>
    </w:p>
    <w:p w14:paraId="2F640DAE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</w:pPr>
      <w:r w:rsidRPr="003337A5">
        <w:rPr>
          <w:b/>
          <w:bCs/>
          <w:lang w:val="ru-RU"/>
        </w:rPr>
        <w:t xml:space="preserve">Безвизовый режим: </w:t>
      </w:r>
      <w:r w:rsidRPr="003337A5">
        <w:rPr>
          <w:lang w:val="ru-RU"/>
        </w:rPr>
        <w:t xml:space="preserve">более 80 стран (вкл. </w:t>
      </w:r>
      <w:r w:rsidRPr="003337A5">
        <w:t xml:space="preserve">США с 01.01.2026) — </w:t>
      </w:r>
      <w:proofErr w:type="spellStart"/>
      <w:r w:rsidRPr="003337A5">
        <w:t>до</w:t>
      </w:r>
      <w:proofErr w:type="spellEnd"/>
      <w:r w:rsidRPr="003337A5">
        <w:t xml:space="preserve"> 30 </w:t>
      </w:r>
      <w:proofErr w:type="spellStart"/>
      <w:r w:rsidRPr="003337A5">
        <w:t>дней</w:t>
      </w:r>
      <w:proofErr w:type="spellEnd"/>
    </w:p>
    <w:p w14:paraId="2C6D9ABD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</w:rPr>
        <w:t>IT</w:t>
      </w:r>
      <w:r w:rsidRPr="003337A5">
        <w:rPr>
          <w:b/>
          <w:bCs/>
          <w:lang w:val="ru-RU"/>
        </w:rPr>
        <w:t xml:space="preserve"> </w:t>
      </w:r>
      <w:r w:rsidRPr="003337A5">
        <w:rPr>
          <w:b/>
          <w:bCs/>
        </w:rPr>
        <w:t>Park</w:t>
      </w:r>
      <w:r w:rsidRPr="003337A5">
        <w:rPr>
          <w:b/>
          <w:bCs/>
          <w:lang w:val="ru-RU"/>
        </w:rPr>
        <w:t xml:space="preserve">: </w:t>
      </w:r>
      <w:r w:rsidRPr="003337A5">
        <w:rPr>
          <w:lang w:val="ru-RU"/>
        </w:rPr>
        <w:t>0% НПП, НДС, соцналог до 2028; для экспортёров — до 2040</w:t>
      </w:r>
    </w:p>
    <w:p w14:paraId="03D605ED" w14:textId="77777777" w:rsidR="00293A77" w:rsidRPr="003337A5" w:rsidRDefault="00000000">
      <w:pPr>
        <w:spacing w:before="80" w:after="160"/>
      </w:pPr>
      <w:proofErr w:type="spellStart"/>
      <w:r w:rsidRPr="003337A5">
        <w:rPr>
          <w:i/>
          <w:iCs/>
          <w:sz w:val="18"/>
          <w:szCs w:val="18"/>
        </w:rPr>
        <w:t>Источник</w:t>
      </w:r>
      <w:proofErr w:type="spellEnd"/>
      <w:r w:rsidRPr="003337A5">
        <w:rPr>
          <w:i/>
          <w:iCs/>
          <w:sz w:val="18"/>
          <w:szCs w:val="18"/>
        </w:rPr>
        <w:t xml:space="preserve">: EY, «Doing Business in Uzbekistan 2026», </w:t>
      </w:r>
      <w:proofErr w:type="spellStart"/>
      <w:r w:rsidRPr="003337A5">
        <w:rPr>
          <w:i/>
          <w:iCs/>
          <w:sz w:val="18"/>
          <w:szCs w:val="18"/>
        </w:rPr>
        <w:t>апрель</w:t>
      </w:r>
      <w:proofErr w:type="spellEnd"/>
      <w:r w:rsidRPr="003337A5">
        <w:rPr>
          <w:i/>
          <w:iCs/>
          <w:sz w:val="18"/>
          <w:szCs w:val="18"/>
        </w:rPr>
        <w:t xml:space="preserve"> 2026 https://www.ey.com/content/dam/ey-unified-site/ey-com/en-uz/documents/ey-doing-business-uz-2026.pdf</w:t>
      </w:r>
    </w:p>
    <w:p w14:paraId="64BF533C" w14:textId="786507E2" w:rsidR="00293A77" w:rsidRPr="003337A5" w:rsidRDefault="00000000" w:rsidP="003337A5">
      <w:pPr>
        <w:pStyle w:val="Heading1"/>
        <w:spacing w:before="300" w:after="160"/>
        <w:rPr>
          <w:color w:val="auto"/>
          <w:lang w:val="ru-RU"/>
        </w:rPr>
      </w:pPr>
      <w:proofErr w:type="gramStart"/>
      <w:r w:rsidRPr="003337A5">
        <w:rPr>
          <w:color w:val="auto"/>
        </w:rPr>
        <w:t>KPMG: «</w:t>
      </w:r>
      <w:proofErr w:type="gramEnd"/>
      <w:r w:rsidRPr="003337A5">
        <w:rPr>
          <w:color w:val="auto"/>
        </w:rPr>
        <w:t>Banking and Capital Markets — CEO Outlook»</w:t>
      </w:r>
    </w:p>
    <w:p w14:paraId="1AE91198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t>KPMG</w:t>
      </w:r>
      <w:r w:rsidRPr="003337A5">
        <w:rPr>
          <w:lang w:val="ru-RU"/>
        </w:rPr>
        <w:t xml:space="preserve"> опубликовала на сайте </w:t>
      </w:r>
      <w:r w:rsidRPr="003337A5">
        <w:t>KPMG</w:t>
      </w:r>
      <w:r w:rsidRPr="003337A5">
        <w:rPr>
          <w:lang w:val="ru-RU"/>
        </w:rPr>
        <w:t xml:space="preserve"> </w:t>
      </w:r>
      <w:r w:rsidRPr="003337A5">
        <w:t>Uzbekistan</w:t>
      </w:r>
      <w:r w:rsidRPr="003337A5">
        <w:rPr>
          <w:lang w:val="ru-RU"/>
        </w:rPr>
        <w:t xml:space="preserve"> (март 2026) локализацию глобального опроса 1 350 </w:t>
      </w:r>
      <w:r w:rsidRPr="003337A5">
        <w:t>CEO</w:t>
      </w:r>
      <w:r w:rsidRPr="003337A5">
        <w:rPr>
          <w:lang w:val="ru-RU"/>
        </w:rPr>
        <w:t>, включая 110 руководителей банков и рынков капитала:</w:t>
      </w:r>
    </w:p>
    <w:p w14:paraId="7A54C42A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  <w:lang w:val="ru-RU"/>
        </w:rPr>
        <w:t xml:space="preserve">83% </w:t>
      </w:r>
      <w:r w:rsidRPr="003337A5">
        <w:rPr>
          <w:lang w:val="ru-RU"/>
        </w:rPr>
        <w:t xml:space="preserve">банковских </w:t>
      </w:r>
      <w:r w:rsidRPr="003337A5">
        <w:t>CEO</w:t>
      </w:r>
      <w:r w:rsidRPr="003337A5">
        <w:rPr>
          <w:lang w:val="ru-RU"/>
        </w:rPr>
        <w:t xml:space="preserve"> уверены в перспективах роста</w:t>
      </w:r>
    </w:p>
    <w:p w14:paraId="20F67832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</w:pPr>
      <w:r w:rsidRPr="003337A5">
        <w:rPr>
          <w:b/>
          <w:bCs/>
        </w:rPr>
        <w:t xml:space="preserve">65% </w:t>
      </w:r>
      <w:proofErr w:type="spellStart"/>
      <w:r w:rsidRPr="003337A5">
        <w:t>считают</w:t>
      </w:r>
      <w:proofErr w:type="spellEnd"/>
      <w:r w:rsidRPr="003337A5">
        <w:t xml:space="preserve"> AI </w:t>
      </w:r>
      <w:proofErr w:type="spellStart"/>
      <w:r w:rsidRPr="003337A5">
        <w:t>приоритетом</w:t>
      </w:r>
      <w:proofErr w:type="spellEnd"/>
      <w:r w:rsidRPr="003337A5">
        <w:t xml:space="preserve"> </w:t>
      </w:r>
      <w:proofErr w:type="spellStart"/>
      <w:r w:rsidRPr="003337A5">
        <w:t>инвестиций</w:t>
      </w:r>
      <w:proofErr w:type="spellEnd"/>
    </w:p>
    <w:p w14:paraId="2A6DD03C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</w:pPr>
      <w:r w:rsidRPr="003337A5">
        <w:rPr>
          <w:b/>
          <w:bCs/>
        </w:rPr>
        <w:t xml:space="preserve">69% </w:t>
      </w:r>
      <w:proofErr w:type="spellStart"/>
      <w:r w:rsidRPr="003337A5">
        <w:t>ожидают</w:t>
      </w:r>
      <w:proofErr w:type="spellEnd"/>
      <w:r w:rsidRPr="003337A5">
        <w:t xml:space="preserve"> </w:t>
      </w:r>
      <w:proofErr w:type="spellStart"/>
      <w:r w:rsidRPr="003337A5">
        <w:t>окупаемости</w:t>
      </w:r>
      <w:proofErr w:type="spellEnd"/>
      <w:r w:rsidRPr="003337A5">
        <w:t xml:space="preserve"> AI в 1–3 </w:t>
      </w:r>
      <w:proofErr w:type="spellStart"/>
      <w:r w:rsidRPr="003337A5">
        <w:t>года</w:t>
      </w:r>
      <w:proofErr w:type="spellEnd"/>
    </w:p>
    <w:p w14:paraId="51DA5EDE" w14:textId="77777777" w:rsidR="00293A77" w:rsidRPr="003337A5" w:rsidRDefault="00000000">
      <w:pPr>
        <w:pStyle w:val="ListParagraph"/>
        <w:numPr>
          <w:ilvl w:val="0"/>
          <w:numId w:val="2"/>
        </w:numPr>
        <w:spacing w:before="60" w:after="60" w:line="276" w:lineRule="auto"/>
        <w:rPr>
          <w:lang w:val="ru-RU"/>
        </w:rPr>
      </w:pPr>
      <w:r w:rsidRPr="003337A5">
        <w:rPr>
          <w:b/>
          <w:bCs/>
          <w:lang w:val="ru-RU"/>
        </w:rPr>
        <w:t xml:space="preserve">86% </w:t>
      </w:r>
      <w:r w:rsidRPr="003337A5">
        <w:rPr>
          <w:lang w:val="ru-RU"/>
        </w:rPr>
        <w:t>называют кибер-риск главным фактором, влияющим на рост</w:t>
      </w:r>
    </w:p>
    <w:p w14:paraId="41765905" w14:textId="77777777" w:rsidR="00293A77" w:rsidRPr="003337A5" w:rsidRDefault="00000000">
      <w:pPr>
        <w:spacing w:before="80" w:after="160"/>
      </w:pPr>
      <w:proofErr w:type="spellStart"/>
      <w:r w:rsidRPr="003337A5">
        <w:rPr>
          <w:i/>
          <w:iCs/>
          <w:sz w:val="18"/>
          <w:szCs w:val="18"/>
        </w:rPr>
        <w:t>Источник</w:t>
      </w:r>
      <w:proofErr w:type="spellEnd"/>
      <w:r w:rsidRPr="003337A5">
        <w:rPr>
          <w:i/>
          <w:iCs/>
          <w:sz w:val="18"/>
          <w:szCs w:val="18"/>
        </w:rPr>
        <w:t xml:space="preserve">: KPMG, «Banking and Capital Markets: CEO Outlook», </w:t>
      </w:r>
      <w:proofErr w:type="spellStart"/>
      <w:r w:rsidRPr="003337A5">
        <w:rPr>
          <w:i/>
          <w:iCs/>
          <w:sz w:val="18"/>
          <w:szCs w:val="18"/>
        </w:rPr>
        <w:t>март</w:t>
      </w:r>
      <w:proofErr w:type="spellEnd"/>
      <w:r w:rsidRPr="003337A5">
        <w:rPr>
          <w:i/>
          <w:iCs/>
          <w:sz w:val="18"/>
          <w:szCs w:val="18"/>
        </w:rPr>
        <w:t xml:space="preserve"> 2026 https://kpmg.com/uz/en/insights/2026/03/banking-and-capital-markets.html</w:t>
      </w:r>
    </w:p>
    <w:p w14:paraId="1DE0F210" w14:textId="56EC72E5" w:rsidR="00293A77" w:rsidRPr="003337A5" w:rsidRDefault="00000000" w:rsidP="003337A5">
      <w:pPr>
        <w:pStyle w:val="Heading1"/>
        <w:spacing w:before="300" w:after="160"/>
        <w:rPr>
          <w:color w:val="auto"/>
          <w:lang w:val="ru-RU"/>
        </w:rPr>
      </w:pPr>
      <w:r w:rsidRPr="003337A5">
        <w:rPr>
          <w:color w:val="auto"/>
          <w:lang w:val="ru-RU"/>
        </w:rPr>
        <w:t>Налоговая реформа: порог НДС увеличен в 5 раз (июнь 2026)</w:t>
      </w:r>
    </w:p>
    <w:p w14:paraId="59B311AC" w14:textId="63B95BE0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 xml:space="preserve">С 1 июня 2026 года порог обязательного перехода на НДС и налог на прибыль повышен с 1 млрд </w:t>
      </w:r>
      <w:r w:rsidR="003337A5">
        <w:rPr>
          <w:lang w:val="ru-RU"/>
        </w:rPr>
        <w:t>сум</w:t>
      </w:r>
      <w:r w:rsidRPr="003337A5">
        <w:rPr>
          <w:lang w:val="ru-RU"/>
        </w:rPr>
        <w:t xml:space="preserve"> до 5 млрд </w:t>
      </w:r>
      <w:r w:rsidR="003337A5">
        <w:rPr>
          <w:lang w:val="ru-RU"/>
        </w:rPr>
        <w:t>сум</w:t>
      </w:r>
      <w:r w:rsidRPr="003337A5">
        <w:rPr>
          <w:lang w:val="ru-RU"/>
        </w:rPr>
        <w:t>. Это крупнейшее изменение налогового режима для малого бизнеса с 2019 года.</w:t>
      </w:r>
    </w:p>
    <w:p w14:paraId="45B9E6B9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lang w:val="ru-RU"/>
        </w:rPr>
        <w:t>Одновременно введён добровольный упрощённый НДС по ставке 6% для общепита, розницы и сферы услуг — как альтернатива стандартным 12%. При выборе 6% предприниматель освобождается от налога на прибыль.</w:t>
      </w:r>
    </w:p>
    <w:p w14:paraId="07D52EFD" w14:textId="53A748A4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b/>
          <w:bCs/>
          <w:lang w:val="ru-RU"/>
        </w:rPr>
        <w:t xml:space="preserve">Для бизнеса: </w:t>
      </w:r>
      <w:r w:rsidRPr="003337A5">
        <w:rPr>
          <w:lang w:val="ru-RU"/>
        </w:rPr>
        <w:t xml:space="preserve">тысячи малых предприятий с оборотом до </w:t>
      </w:r>
      <w:r w:rsidR="003337A5" w:rsidRPr="003337A5">
        <w:rPr>
          <w:lang w:val="ru-RU"/>
        </w:rPr>
        <w:t xml:space="preserve">5 </w:t>
      </w:r>
      <w:r w:rsidR="003337A5">
        <w:rPr>
          <w:lang w:val="ru-RU"/>
        </w:rPr>
        <w:t xml:space="preserve">млрд сум </w:t>
      </w:r>
      <w:r w:rsidRPr="003337A5">
        <w:rPr>
          <w:lang w:val="ru-RU"/>
        </w:rPr>
        <w:t>больше не обязаны переходить на НДС. Это устраняет стимул к искусственному дроблению бизнеса и снижает долю теневой экономики.</w:t>
      </w:r>
    </w:p>
    <w:p w14:paraId="187842FB" w14:textId="77777777" w:rsidR="00293A77" w:rsidRPr="003337A5" w:rsidRDefault="00000000">
      <w:pPr>
        <w:spacing w:before="80" w:after="160"/>
      </w:pPr>
      <w:proofErr w:type="spellStart"/>
      <w:r w:rsidRPr="003337A5">
        <w:rPr>
          <w:i/>
          <w:iCs/>
          <w:sz w:val="18"/>
          <w:szCs w:val="18"/>
        </w:rPr>
        <w:t>Источники</w:t>
      </w:r>
      <w:proofErr w:type="spellEnd"/>
      <w:r w:rsidRPr="003337A5">
        <w:rPr>
          <w:i/>
          <w:iCs/>
          <w:sz w:val="18"/>
          <w:szCs w:val="18"/>
        </w:rPr>
        <w:t>: Gazeta.uz (29.05.2026); PwC Tax Summaries (republic-of-</w:t>
      </w:r>
      <w:proofErr w:type="spellStart"/>
      <w:r w:rsidRPr="003337A5">
        <w:rPr>
          <w:i/>
          <w:iCs/>
          <w:sz w:val="18"/>
          <w:szCs w:val="18"/>
        </w:rPr>
        <w:t>uzbekistan</w:t>
      </w:r>
      <w:proofErr w:type="spellEnd"/>
      <w:r w:rsidRPr="003337A5">
        <w:rPr>
          <w:i/>
          <w:iCs/>
          <w:sz w:val="18"/>
          <w:szCs w:val="18"/>
        </w:rPr>
        <w:t xml:space="preserve">, </w:t>
      </w:r>
      <w:proofErr w:type="spellStart"/>
      <w:r w:rsidRPr="003337A5">
        <w:rPr>
          <w:i/>
          <w:iCs/>
          <w:sz w:val="18"/>
          <w:szCs w:val="18"/>
        </w:rPr>
        <w:t>обновлено</w:t>
      </w:r>
      <w:proofErr w:type="spellEnd"/>
      <w:r w:rsidRPr="003337A5">
        <w:rPr>
          <w:i/>
          <w:iCs/>
          <w:sz w:val="18"/>
          <w:szCs w:val="18"/>
        </w:rPr>
        <w:t xml:space="preserve"> 2026)</w:t>
      </w:r>
    </w:p>
    <w:p w14:paraId="0E55059D" w14:textId="77777777" w:rsidR="003337A5" w:rsidRDefault="003337A5">
      <w:pPr>
        <w:pStyle w:val="Heading1"/>
        <w:spacing w:before="300" w:after="160"/>
        <w:rPr>
          <w:color w:val="auto"/>
          <w:lang w:val="ru-RU"/>
        </w:rPr>
      </w:pPr>
    </w:p>
    <w:p w14:paraId="0323E047" w14:textId="6EC5078A" w:rsidR="00293A77" w:rsidRPr="003337A5" w:rsidRDefault="00000000" w:rsidP="003337A5">
      <w:pPr>
        <w:pStyle w:val="Heading1"/>
        <w:spacing w:before="300" w:after="160"/>
        <w:rPr>
          <w:color w:val="auto"/>
          <w:lang w:val="ru-RU"/>
        </w:rPr>
      </w:pPr>
      <w:r w:rsidRPr="003337A5">
        <w:rPr>
          <w:color w:val="auto"/>
          <w:lang w:val="ru-RU"/>
        </w:rPr>
        <w:lastRenderedPageBreak/>
        <w:t>Оговорка</w:t>
      </w:r>
    </w:p>
    <w:p w14:paraId="125FC7E8" w14:textId="77777777" w:rsidR="00293A77" w:rsidRPr="003337A5" w:rsidRDefault="00000000">
      <w:pPr>
        <w:spacing w:before="120" w:after="120" w:line="276" w:lineRule="auto"/>
        <w:jc w:val="both"/>
        <w:rPr>
          <w:lang w:val="ru-RU"/>
        </w:rPr>
      </w:pPr>
      <w:r w:rsidRPr="003337A5">
        <w:rPr>
          <w:i/>
          <w:iCs/>
          <w:lang w:val="ru-RU"/>
        </w:rPr>
        <w:t>Настоящий материал носит информационный характер и не является инвестиционной, налоговой или юридической рекомендацией. Все данные основаны исключительно на официальных публикациях указанных организаций. Перед принятием решений рекомендуется консультация с профессиональными советниками.</w:t>
      </w:r>
    </w:p>
    <w:sectPr w:rsidR="00293A77" w:rsidRPr="003337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64A2" w14:textId="77777777" w:rsidR="00F9515C" w:rsidRDefault="00F9515C">
      <w:r>
        <w:separator/>
      </w:r>
    </w:p>
  </w:endnote>
  <w:endnote w:type="continuationSeparator" w:id="0">
    <w:p w14:paraId="0B259F36" w14:textId="77777777" w:rsidR="00F9515C" w:rsidRDefault="00F9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F050" w14:textId="77777777" w:rsidR="00293A77" w:rsidRDefault="00000000">
    <w:pPr>
      <w:pBdr>
        <w:top w:val="single" w:sz="1" w:space="4" w:color="CCCCCC"/>
      </w:pBdr>
      <w:jc w:val="center"/>
    </w:pPr>
    <w:proofErr w:type="spellStart"/>
    <w:r>
      <w:rPr>
        <w:color w:val="999999"/>
        <w:sz w:val="16"/>
        <w:szCs w:val="16"/>
      </w:rPr>
      <w:t>Стр</w:t>
    </w:r>
    <w:proofErr w:type="spellEnd"/>
    <w:r>
      <w:rPr>
        <w:color w:val="999999"/>
        <w:sz w:val="16"/>
        <w:szCs w:val="16"/>
      </w:rPr>
      <w:t xml:space="preserve">.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3337A5">
      <w:rPr>
        <w:noProof/>
        <w:color w:val="999999"/>
        <w:sz w:val="16"/>
        <w:szCs w:val="16"/>
      </w:rPr>
      <w:t>2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9958" w14:textId="77777777" w:rsidR="00F9515C" w:rsidRDefault="00F9515C">
      <w:r>
        <w:separator/>
      </w:r>
    </w:p>
  </w:footnote>
  <w:footnote w:type="continuationSeparator" w:id="0">
    <w:p w14:paraId="7AC4C6DE" w14:textId="77777777" w:rsidR="00F9515C" w:rsidRDefault="00F9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1248" w14:textId="77777777" w:rsidR="00293A77" w:rsidRPr="003337A5" w:rsidRDefault="00000000">
    <w:pPr>
      <w:pBdr>
        <w:bottom w:val="single" w:sz="2" w:space="4" w:color="1B4F72"/>
      </w:pBdr>
      <w:jc w:val="right"/>
      <w:rPr>
        <w:lang w:val="ru-RU"/>
      </w:rPr>
    </w:pPr>
    <w:r w:rsidRPr="003337A5">
      <w:rPr>
        <w:i/>
        <w:iCs/>
        <w:color w:val="999999"/>
        <w:sz w:val="16"/>
        <w:szCs w:val="16"/>
        <w:lang w:val="ru-RU"/>
      </w:rPr>
      <w:t xml:space="preserve">Рынок Узбекистана — Аналитика консалтинговых компаний </w:t>
    </w:r>
    <w:r>
      <w:rPr>
        <w:i/>
        <w:iCs/>
        <w:color w:val="999999"/>
        <w:sz w:val="16"/>
        <w:szCs w:val="16"/>
      </w:rPr>
      <w:t>H</w:t>
    </w:r>
    <w:r w:rsidRPr="003337A5">
      <w:rPr>
        <w:i/>
        <w:iCs/>
        <w:color w:val="999999"/>
        <w:sz w:val="16"/>
        <w:szCs w:val="16"/>
        <w:lang w:val="ru-RU"/>
      </w:rPr>
      <w:t>1 2026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B5453"/>
    <w:multiLevelType w:val="hybridMultilevel"/>
    <w:tmpl w:val="89449278"/>
    <w:lvl w:ilvl="0" w:tplc="AFDE696C">
      <w:start w:val="1"/>
      <w:numFmt w:val="bullet"/>
      <w:lvlText w:val="●"/>
      <w:lvlJc w:val="left"/>
      <w:pPr>
        <w:ind w:left="720" w:hanging="360"/>
      </w:pPr>
    </w:lvl>
    <w:lvl w:ilvl="1" w:tplc="E0A816E6">
      <w:start w:val="1"/>
      <w:numFmt w:val="bullet"/>
      <w:lvlText w:val="○"/>
      <w:lvlJc w:val="left"/>
      <w:pPr>
        <w:ind w:left="1440" w:hanging="360"/>
      </w:pPr>
    </w:lvl>
    <w:lvl w:ilvl="2" w:tplc="FE98C006">
      <w:start w:val="1"/>
      <w:numFmt w:val="bullet"/>
      <w:lvlText w:val="■"/>
      <w:lvlJc w:val="left"/>
      <w:pPr>
        <w:ind w:left="2160" w:hanging="360"/>
      </w:pPr>
    </w:lvl>
    <w:lvl w:ilvl="3" w:tplc="33D6EFF2">
      <w:start w:val="1"/>
      <w:numFmt w:val="bullet"/>
      <w:lvlText w:val="●"/>
      <w:lvlJc w:val="left"/>
      <w:pPr>
        <w:ind w:left="2880" w:hanging="360"/>
      </w:pPr>
    </w:lvl>
    <w:lvl w:ilvl="4" w:tplc="CAB893E2">
      <w:start w:val="1"/>
      <w:numFmt w:val="bullet"/>
      <w:lvlText w:val="○"/>
      <w:lvlJc w:val="left"/>
      <w:pPr>
        <w:ind w:left="3600" w:hanging="360"/>
      </w:pPr>
    </w:lvl>
    <w:lvl w:ilvl="5" w:tplc="B3CE6A38">
      <w:start w:val="1"/>
      <w:numFmt w:val="bullet"/>
      <w:lvlText w:val="■"/>
      <w:lvlJc w:val="left"/>
      <w:pPr>
        <w:ind w:left="4320" w:hanging="360"/>
      </w:pPr>
    </w:lvl>
    <w:lvl w:ilvl="6" w:tplc="60C83CFA">
      <w:start w:val="1"/>
      <w:numFmt w:val="bullet"/>
      <w:lvlText w:val="●"/>
      <w:lvlJc w:val="left"/>
      <w:pPr>
        <w:ind w:left="5040" w:hanging="360"/>
      </w:pPr>
    </w:lvl>
    <w:lvl w:ilvl="7" w:tplc="BF465348">
      <w:start w:val="1"/>
      <w:numFmt w:val="bullet"/>
      <w:lvlText w:val="●"/>
      <w:lvlJc w:val="left"/>
      <w:pPr>
        <w:ind w:left="5760" w:hanging="360"/>
      </w:pPr>
    </w:lvl>
    <w:lvl w:ilvl="8" w:tplc="7688C17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0B2457"/>
    <w:multiLevelType w:val="hybridMultilevel"/>
    <w:tmpl w:val="B4026592"/>
    <w:lvl w:ilvl="0" w:tplc="F84046DE">
      <w:start w:val="1"/>
      <w:numFmt w:val="bullet"/>
      <w:lvlText w:val="•"/>
      <w:lvlJc w:val="left"/>
      <w:pPr>
        <w:ind w:left="720" w:hanging="360"/>
      </w:pPr>
    </w:lvl>
    <w:lvl w:ilvl="1" w:tplc="3E4AEB2C">
      <w:numFmt w:val="decimal"/>
      <w:lvlText w:val=""/>
      <w:lvlJc w:val="left"/>
    </w:lvl>
    <w:lvl w:ilvl="2" w:tplc="8500B37E">
      <w:numFmt w:val="decimal"/>
      <w:lvlText w:val=""/>
      <w:lvlJc w:val="left"/>
    </w:lvl>
    <w:lvl w:ilvl="3" w:tplc="5796708C">
      <w:numFmt w:val="decimal"/>
      <w:lvlText w:val=""/>
      <w:lvlJc w:val="left"/>
    </w:lvl>
    <w:lvl w:ilvl="4" w:tplc="1354DBA6">
      <w:numFmt w:val="decimal"/>
      <w:lvlText w:val=""/>
      <w:lvlJc w:val="left"/>
    </w:lvl>
    <w:lvl w:ilvl="5" w:tplc="32FA314E">
      <w:numFmt w:val="decimal"/>
      <w:lvlText w:val=""/>
      <w:lvlJc w:val="left"/>
    </w:lvl>
    <w:lvl w:ilvl="6" w:tplc="C246B2F4">
      <w:numFmt w:val="decimal"/>
      <w:lvlText w:val=""/>
      <w:lvlJc w:val="left"/>
    </w:lvl>
    <w:lvl w:ilvl="7" w:tplc="C2EC7E4E">
      <w:numFmt w:val="decimal"/>
      <w:lvlText w:val=""/>
      <w:lvlJc w:val="left"/>
    </w:lvl>
    <w:lvl w:ilvl="8" w:tplc="0980B090">
      <w:numFmt w:val="decimal"/>
      <w:lvlText w:val=""/>
      <w:lvlJc w:val="left"/>
    </w:lvl>
  </w:abstractNum>
  <w:num w:numId="1" w16cid:durableId="1072388366">
    <w:abstractNumId w:val="0"/>
    <w:lvlOverride w:ilvl="0">
      <w:startOverride w:val="1"/>
    </w:lvlOverride>
  </w:num>
  <w:num w:numId="2" w16cid:durableId="172845653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77"/>
    <w:rsid w:val="00293A77"/>
    <w:rsid w:val="002D51E6"/>
    <w:rsid w:val="003337A5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1D57"/>
  <w15:docId w15:val="{1B7E5675-ABFF-4DE8-B73D-D6B8D0C5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B4F72"/>
      <w:sz w:val="34"/>
      <w:szCs w:val="34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1B4F72"/>
      <w:sz w:val="28"/>
      <w:szCs w:val="28"/>
    </w:rPr>
  </w:style>
  <w:style w:type="paragraph" w:styleId="Heading3">
    <w:name w:val="heading 3"/>
    <w:uiPriority w:val="9"/>
    <w:unhideWhenUsed/>
    <w:qFormat/>
    <w:pPr>
      <w:spacing w:before="240" w:after="120"/>
      <w:outlineLvl w:val="2"/>
    </w:pPr>
    <w:rPr>
      <w:b/>
      <w:bCs/>
      <w:color w:val="2C3E50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37A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7A5"/>
  </w:style>
  <w:style w:type="paragraph" w:styleId="Footer">
    <w:name w:val="footer"/>
    <w:basedOn w:val="Normal"/>
    <w:link w:val="FooterChar"/>
    <w:uiPriority w:val="99"/>
    <w:unhideWhenUsed/>
    <w:rsid w:val="003337A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998</Words>
  <Characters>5692</Characters>
  <Application>Microsoft Office Word</Application>
  <DocSecurity>0</DocSecurity>
  <Lines>47</Lines>
  <Paragraphs>13</Paragraphs>
  <ScaleCrop>false</ScaleCrop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Abdukodirov, Azizbek</cp:lastModifiedBy>
  <cp:revision>2</cp:revision>
  <dcterms:created xsi:type="dcterms:W3CDTF">2026-07-01T13:45:00Z</dcterms:created>
  <dcterms:modified xsi:type="dcterms:W3CDTF">2026-07-01T13:53:00Z</dcterms:modified>
</cp:coreProperties>
</file>