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E9EB" w14:textId="77777777" w:rsidR="00293A77" w:rsidRPr="003337A5" w:rsidRDefault="00293A77">
      <w:pPr>
        <w:spacing w:before="3600"/>
      </w:pPr>
    </w:p>
    <w:p w14:paraId="1E1CBB54" w14:textId="0E388463" w:rsidR="00293A77" w:rsidRPr="00B67CE0" w:rsidRDefault="002C4F59" w:rsidP="00B67CE0">
      <w:pPr>
        <w:spacing w:before="400" w:after="120"/>
        <w:jc w:val="center"/>
      </w:pPr>
      <w:r w:rsidRPr="002C4F59">
        <w:rPr>
          <w:b/>
          <w:bCs/>
          <w:sz w:val="44"/>
          <w:szCs w:val="44"/>
        </w:rPr>
        <w:t>ANALYTICAL MATERIAL</w:t>
      </w:r>
      <w:r w:rsidR="00B67CE0" w:rsidRPr="00B67CE0">
        <w:rPr>
          <w:b/>
          <w:bCs/>
          <w:sz w:val="44"/>
          <w:szCs w:val="44"/>
        </w:rPr>
        <w:br/>
      </w:r>
      <w:r w:rsidR="00B67CE0" w:rsidRPr="00B67CE0">
        <w:rPr>
          <w:b/>
          <w:bCs/>
          <w:sz w:val="44"/>
          <w:szCs w:val="44"/>
        </w:rPr>
        <w:br/>
      </w:r>
      <w:r w:rsidRPr="002C4F59">
        <w:rPr>
          <w:b/>
          <w:bCs/>
          <w:sz w:val="34"/>
          <w:szCs w:val="34"/>
        </w:rPr>
        <w:t>Uzbekistan’s Market Through the Eyes of Leading Consulting Companies</w:t>
      </w:r>
      <w:r w:rsidR="00B67CE0" w:rsidRPr="00B67CE0">
        <w:rPr>
          <w:b/>
          <w:bCs/>
          <w:sz w:val="34"/>
          <w:szCs w:val="34"/>
        </w:rPr>
        <w:br/>
      </w:r>
      <w:r w:rsidR="00B67CE0" w:rsidRPr="00B67CE0">
        <w:rPr>
          <w:b/>
          <w:bCs/>
          <w:sz w:val="34"/>
          <w:szCs w:val="34"/>
        </w:rPr>
        <w:br/>
      </w:r>
      <w:r w:rsidRPr="002C4F59">
        <w:rPr>
          <w:sz w:val="24"/>
          <w:szCs w:val="24"/>
        </w:rPr>
        <w:t>Based on publications by KPMG, EY, BCG and PwC</w:t>
      </w:r>
    </w:p>
    <w:p w14:paraId="181A88CE" w14:textId="77777777" w:rsidR="00293A77" w:rsidRPr="00B67CE0" w:rsidRDefault="00293A77">
      <w:pPr>
        <w:spacing w:before="1500"/>
        <w:rPr>
          <w:sz w:val="24"/>
          <w:szCs w:val="24"/>
        </w:rPr>
      </w:pPr>
    </w:p>
    <w:p w14:paraId="1933619A" w14:textId="77777777" w:rsidR="003337A5" w:rsidRPr="00B67CE0" w:rsidRDefault="003337A5">
      <w:pPr>
        <w:spacing w:before="1500"/>
      </w:pPr>
    </w:p>
    <w:p w14:paraId="03B7F1E8" w14:textId="77777777" w:rsidR="003337A5" w:rsidRPr="00B67CE0" w:rsidRDefault="003337A5">
      <w:pPr>
        <w:spacing w:before="1500"/>
      </w:pPr>
    </w:p>
    <w:p w14:paraId="0FC72881" w14:textId="61C66821" w:rsidR="003337A5" w:rsidRPr="00B67CE0" w:rsidRDefault="00B67CE0">
      <w:pPr>
        <w:pStyle w:val="1"/>
        <w:spacing w:before="300" w:after="160"/>
        <w:rPr>
          <w:color w:val="auto"/>
        </w:rPr>
      </w:pPr>
      <w:r w:rsidRPr="00B67CE0">
        <w:rPr>
          <w:b w:val="0"/>
          <w:bCs w:val="0"/>
          <w:i/>
          <w:iCs/>
          <w:color w:val="auto"/>
          <w:sz w:val="22"/>
          <w:szCs w:val="22"/>
        </w:rPr>
        <w:t xml:space="preserve">                                               </w:t>
      </w:r>
      <w:r w:rsidR="002C4F59" w:rsidRPr="002C4F59">
        <w:rPr>
          <w:b w:val="0"/>
          <w:bCs w:val="0"/>
          <w:i/>
          <w:iCs/>
          <w:color w:val="auto"/>
          <w:sz w:val="22"/>
          <w:szCs w:val="22"/>
        </w:rPr>
        <w:t>For Entrepreneurs and Investors</w:t>
      </w:r>
    </w:p>
    <w:p w14:paraId="7AC4CBEC" w14:textId="77777777" w:rsidR="003337A5" w:rsidRPr="00B67CE0" w:rsidRDefault="003337A5">
      <w:pPr>
        <w:pStyle w:val="1"/>
        <w:spacing w:before="300" w:after="160"/>
        <w:rPr>
          <w:color w:val="auto"/>
        </w:rPr>
      </w:pPr>
    </w:p>
    <w:p w14:paraId="4A387449" w14:textId="77777777" w:rsidR="003337A5" w:rsidRPr="00B67CE0" w:rsidRDefault="003337A5">
      <w:pPr>
        <w:pStyle w:val="1"/>
        <w:spacing w:before="300" w:after="160"/>
        <w:rPr>
          <w:color w:val="auto"/>
        </w:rPr>
      </w:pPr>
    </w:p>
    <w:p w14:paraId="7B3C0AE2" w14:textId="77777777" w:rsidR="003337A5" w:rsidRPr="00B67CE0" w:rsidRDefault="003337A5">
      <w:pPr>
        <w:pStyle w:val="1"/>
        <w:spacing w:before="300" w:after="160"/>
        <w:rPr>
          <w:color w:val="auto"/>
        </w:rPr>
      </w:pPr>
    </w:p>
    <w:p w14:paraId="2B04F711" w14:textId="77777777" w:rsidR="002C4F59" w:rsidRDefault="002C4F59" w:rsidP="002C4F59">
      <w:pPr>
        <w:pStyle w:val="2"/>
      </w:pPr>
      <w:r>
        <w:t>Four Scenarios for Uzbekistan’s Development, 2025–2035</w:t>
      </w:r>
    </w:p>
    <w:p w14:paraId="78870C2E" w14:textId="77777777" w:rsidR="002C4F59" w:rsidRPr="002C4F59" w:rsidRDefault="002C4F59" w:rsidP="002C4F59">
      <w:pPr>
        <w:pStyle w:val="isselectedend"/>
        <w:rPr>
          <w:lang w:val="en-US"/>
        </w:rPr>
      </w:pPr>
      <w:r w:rsidRPr="002C4F59">
        <w:rPr>
          <w:lang w:val="en-US"/>
        </w:rPr>
        <w:t>For investors planning long-term strategies in the Uzbek market, BCG analysts have modeled four possible scenarios for the country’s development over the 2025–2035 period. These scenarios depend on global demand for raw materials and the level of global trade barriers.</w:t>
      </w:r>
    </w:p>
    <w:p w14:paraId="6FEB4C13" w14:textId="77777777" w:rsidR="002C4F59" w:rsidRDefault="002C4F59" w:rsidP="002C4F59">
      <w:pPr>
        <w:pStyle w:val="3"/>
      </w:pPr>
      <w:r>
        <w:t>Era of Complex Deals</w:t>
      </w:r>
    </w:p>
    <w:p w14:paraId="30D26F69" w14:textId="77777777" w:rsidR="002C4F59" w:rsidRPr="002C4F59" w:rsidRDefault="002C4F59" w:rsidP="002C4F59">
      <w:pPr>
        <w:pStyle w:val="isselectedend"/>
        <w:rPr>
          <w:lang w:val="en-US"/>
        </w:rPr>
      </w:pPr>
      <w:r w:rsidRPr="002C4F59">
        <w:rPr>
          <w:lang w:val="en-US"/>
        </w:rPr>
        <w:t>This is the most favorable scenario, under which the country gains the opportunity to develop both its raw materials base and its manufacturing industry. Foreign capital is attracted through structured long-term investments, with mandatory strict linkage to the localization of production in Uzbekistan and the transfer of advanced technologies. Under this scenario, investors need to establish joint ventures and integrate local specialists into R&amp;D processes.</w:t>
      </w:r>
    </w:p>
    <w:p w14:paraId="1408E863" w14:textId="77777777" w:rsidR="002C4F59" w:rsidRDefault="002C4F59" w:rsidP="002C4F59">
      <w:pPr>
        <w:pStyle w:val="3"/>
      </w:pPr>
      <w:r>
        <w:t>Renaissance of Mediation</w:t>
      </w:r>
    </w:p>
    <w:p w14:paraId="34C7DE41" w14:textId="77777777" w:rsidR="002C4F59" w:rsidRPr="002C4F59" w:rsidRDefault="002C4F59" w:rsidP="002C4F59">
      <w:pPr>
        <w:pStyle w:val="isselectedend"/>
        <w:rPr>
          <w:lang w:val="en-US"/>
        </w:rPr>
      </w:pPr>
      <w:r w:rsidRPr="002C4F59">
        <w:rPr>
          <w:lang w:val="en-US"/>
        </w:rPr>
        <w:t>This scenario becomes relevant in the event of high global trade barriers combined with moderate demand for resources. Uzbekistan maximizes its opportunities in logistics by expanding export initiatives and projects for intermediate processing of goods, acting as a connecting hub in fragmented global supply chains.</w:t>
      </w:r>
    </w:p>
    <w:p w14:paraId="72A6379B" w14:textId="77777777" w:rsidR="002C4F59" w:rsidRDefault="002C4F59" w:rsidP="002C4F59">
      <w:pPr>
        <w:pStyle w:val="3"/>
      </w:pPr>
      <w:r>
        <w:t>Klondike</w:t>
      </w:r>
    </w:p>
    <w:p w14:paraId="6DB026E6" w14:textId="77777777" w:rsidR="002C4F59" w:rsidRPr="002C4F59" w:rsidRDefault="002C4F59" w:rsidP="002C4F59">
      <w:pPr>
        <w:pStyle w:val="isselectedend"/>
        <w:rPr>
          <w:lang w:val="en-US"/>
        </w:rPr>
      </w:pPr>
      <w:r w:rsidRPr="002C4F59">
        <w:rPr>
          <w:lang w:val="en-US"/>
        </w:rPr>
        <w:t>This is a classic raw materials boom scenario. High global demand for resources such as copper, uranium and gold stimulates rapid growth in the extractive sector of the economy. The risk of this scenario is that excess revenues from raw materials may limit overall economic diversification, as capital becomes concentrated exclusively in capital-intensive mining projects, leaving technology and service sectors underfunded.</w:t>
      </w:r>
    </w:p>
    <w:p w14:paraId="19D12D7C" w14:textId="77777777" w:rsidR="002C4F59" w:rsidRDefault="002C4F59" w:rsidP="002C4F59">
      <w:pPr>
        <w:pStyle w:val="3"/>
      </w:pPr>
      <w:r>
        <w:t>Calm</w:t>
      </w:r>
    </w:p>
    <w:p w14:paraId="08CA9F21" w14:textId="77777777" w:rsidR="002C4F59" w:rsidRPr="002C4F59" w:rsidRDefault="002C4F59" w:rsidP="002C4F59">
      <w:pPr>
        <w:pStyle w:val="isselectedend"/>
        <w:rPr>
          <w:lang w:val="en-US"/>
        </w:rPr>
      </w:pPr>
      <w:r w:rsidRPr="002C4F59">
        <w:rPr>
          <w:lang w:val="en-US"/>
        </w:rPr>
        <w:t>This is the most pessimistic scenario, assuming a significant slowdown in economic growth due to recessionary processes in the global economy. In this situation, the key survival mechanism for both the corporate sector and the state becomes accelerated regional cooperation, consolidation of sales markets within Central Asia and strict control of operating costs.</w:t>
      </w:r>
    </w:p>
    <w:p w14:paraId="6047677D" w14:textId="77777777" w:rsidR="002C4F59" w:rsidRPr="002C4F59" w:rsidRDefault="002C4F59" w:rsidP="002C4F59">
      <w:pPr>
        <w:pStyle w:val="isselectedend"/>
        <w:rPr>
          <w:lang w:val="en-US"/>
        </w:rPr>
      </w:pPr>
      <w:r w:rsidRPr="002C4F59">
        <w:rPr>
          <w:lang w:val="en-US"/>
        </w:rPr>
        <w:t>Given that uncertainty has become the new normal, BCG recommends that the government and investors plan their activities with multiple scenarios in mind, using a system of early indicators and adaptation mechanisms.</w:t>
      </w:r>
    </w:p>
    <w:p w14:paraId="2E5A1096" w14:textId="77777777" w:rsidR="002C4F59" w:rsidRPr="002C4F59" w:rsidRDefault="002C4F59" w:rsidP="002C4F59">
      <w:pPr>
        <w:pStyle w:val="af0"/>
        <w:rPr>
          <w:i/>
          <w:iCs/>
          <w:sz w:val="20"/>
          <w:szCs w:val="20"/>
          <w:lang w:val="en-US"/>
        </w:rPr>
      </w:pPr>
      <w:r w:rsidRPr="002C4F59">
        <w:rPr>
          <w:i/>
          <w:iCs/>
          <w:sz w:val="20"/>
          <w:szCs w:val="20"/>
          <w:lang w:val="en-US"/>
        </w:rPr>
        <w:t>Source: BCG, “Why Investors Are Turning to Central Asia and Caspian”, September 2025</w:t>
      </w:r>
    </w:p>
    <w:p w14:paraId="10869BEF" w14:textId="77777777" w:rsidR="00293A77" w:rsidRPr="003337A5" w:rsidRDefault="007719E0">
      <w:r w:rsidRPr="003337A5">
        <w:br w:type="page"/>
      </w:r>
    </w:p>
    <w:p w14:paraId="2306B774" w14:textId="77777777" w:rsidR="002C4F59" w:rsidRDefault="002C4F59" w:rsidP="002C4F59">
      <w:pPr>
        <w:pStyle w:val="2"/>
      </w:pPr>
      <w:r>
        <w:lastRenderedPageBreak/>
        <w:t>A New Era of Global Mobility and Talent Management</w:t>
      </w:r>
    </w:p>
    <w:p w14:paraId="53B8A7EB" w14:textId="77777777" w:rsidR="002C4F59" w:rsidRPr="002C4F59" w:rsidRDefault="002C4F59" w:rsidP="002C4F59">
      <w:pPr>
        <w:pStyle w:val="isselectedend"/>
        <w:rPr>
          <w:lang w:val="en-US"/>
        </w:rPr>
      </w:pPr>
      <w:r w:rsidRPr="002C4F59">
        <w:rPr>
          <w:lang w:val="en-US"/>
        </w:rPr>
        <w:t>Against the backdrop of a technological boom and geopolitical shifts, the issues of attracting and retaining qualified personnel in developing regions such as Central Asia and the Caucasus have become critically important. Published in 2026, KPMG’s comprehensive “2025/2026 Global Mobility Benchmarking Report” provides in-depth analytics based on a survey of 456 multinational enterprises across 12 industries operating in 29 jurisdictions.</w:t>
      </w:r>
    </w:p>
    <w:p w14:paraId="6E0EC6D9" w14:textId="77777777" w:rsidR="002C4F59" w:rsidRDefault="002C4F59" w:rsidP="002C4F59">
      <w:pPr>
        <w:pStyle w:val="isselectedend"/>
      </w:pPr>
      <w:r w:rsidRPr="002C4F59">
        <w:rPr>
          <w:lang w:val="en-US"/>
        </w:rPr>
        <w:t>As noted by KPMG partners Kakha Rukhadze and Sardor Shermatov, the rapid international expansion of corporations in Central Asia has led to intense competition for talent. Today, 82% of mobility leaders cite demonstrating ROI as their main challenge. 60% of companies actively use short-term project assignments. 43% of organizations have delegated routine tasks to AI, while 62% plan major investments in technology in 2026, compared with 31% in 2025. The main obstacle is data quality: 72% experience difficulties, while 55% report data fragmentation.</w:t>
      </w:r>
    </w:p>
    <w:p w14:paraId="5B29A204" w14:textId="77777777" w:rsidR="002C4F59" w:rsidRPr="002C4F59" w:rsidRDefault="002C4F59" w:rsidP="002C4F59">
      <w:pPr>
        <w:pStyle w:val="isselectedend"/>
      </w:pPr>
    </w:p>
    <w:p w14:paraId="47EF62ED" w14:textId="77777777" w:rsidR="002C4F59" w:rsidRDefault="002C4F59" w:rsidP="002C4F59">
      <w:pPr>
        <w:pStyle w:val="3"/>
      </w:pPr>
      <w:r>
        <w:t>KPMG’s Six Strategic Imperatives</w:t>
      </w:r>
    </w:p>
    <w:p w14:paraId="1C6E06E3" w14:textId="77777777" w:rsidR="002C4F59" w:rsidRDefault="002C4F59" w:rsidP="002C4F59">
      <w:pPr>
        <w:pStyle w:val="isselectedend"/>
      </w:pPr>
      <w:r w:rsidRPr="002C4F59">
        <w:rPr>
          <w:lang w:val="en-US"/>
        </w:rPr>
        <w:t xml:space="preserve">• </w:t>
      </w:r>
      <w:r w:rsidRPr="002C4F59">
        <w:rPr>
          <w:rStyle w:val="af2"/>
          <w:lang w:val="en-US"/>
        </w:rPr>
        <w:t>Set the Vision:</w:t>
      </w:r>
      <w:r w:rsidRPr="002C4F59">
        <w:rPr>
          <w:lang w:val="en-US"/>
        </w:rPr>
        <w:t xml:space="preserve"> increasing value from 6.0 to 7.1 points over 12–18 months.</w:t>
      </w:r>
      <w:r w:rsidRPr="002C4F59">
        <w:rPr>
          <w:lang w:val="en-US"/>
        </w:rPr>
        <w:br/>
        <w:t xml:space="preserve">• </w:t>
      </w:r>
      <w:r w:rsidRPr="002C4F59">
        <w:rPr>
          <w:rStyle w:val="af2"/>
          <w:lang w:val="en-US"/>
        </w:rPr>
        <w:t>Show the Impact / ROI:</w:t>
      </w:r>
      <w:r w:rsidRPr="002C4F59">
        <w:rPr>
          <w:lang w:val="en-US"/>
        </w:rPr>
        <w:t xml:space="preserve"> moving away from a cost-cutting model toward real financial outcomes.</w:t>
      </w:r>
      <w:r w:rsidRPr="002C4F59">
        <w:rPr>
          <w:lang w:val="en-US"/>
        </w:rPr>
        <w:br/>
        <w:t xml:space="preserve">• </w:t>
      </w:r>
      <w:r w:rsidRPr="002C4F59">
        <w:rPr>
          <w:rStyle w:val="af2"/>
          <w:lang w:val="en-US"/>
        </w:rPr>
        <w:t>Empower the Team:</w:t>
      </w:r>
      <w:r w:rsidRPr="002C4F59">
        <w:rPr>
          <w:lang w:val="en-US"/>
        </w:rPr>
        <w:t xml:space="preserve"> upskilling HR teams — a priority for 29% of leaders; 79% report strong cooperation with providers.</w:t>
      </w:r>
      <w:r w:rsidRPr="002C4F59">
        <w:rPr>
          <w:lang w:val="en-US"/>
        </w:rPr>
        <w:br/>
        <w:t xml:space="preserve">• </w:t>
      </w:r>
      <w:r w:rsidRPr="002C4F59">
        <w:rPr>
          <w:rStyle w:val="af2"/>
          <w:lang w:val="en-US"/>
        </w:rPr>
        <w:t>Activate AI:</w:t>
      </w:r>
      <w:r w:rsidRPr="002C4F59">
        <w:rPr>
          <w:lang w:val="en-US"/>
        </w:rPr>
        <w:t xml:space="preserve"> consolidating databases through modern HRIS platforms.</w:t>
      </w:r>
      <w:r w:rsidRPr="002C4F59">
        <w:rPr>
          <w:lang w:val="en-US"/>
        </w:rPr>
        <w:br/>
        <w:t xml:space="preserve">• </w:t>
      </w:r>
      <w:r w:rsidRPr="002C4F59">
        <w:rPr>
          <w:rStyle w:val="af2"/>
          <w:lang w:val="en-US"/>
        </w:rPr>
        <w:t>Redefine Policy:</w:t>
      </w:r>
      <w:r w:rsidRPr="002C4F59">
        <w:rPr>
          <w:lang w:val="en-US"/>
        </w:rPr>
        <w:t xml:space="preserve"> 42% have revised their policies, legalizing remote work and adapting DEI.</w:t>
      </w:r>
      <w:r w:rsidRPr="002C4F59">
        <w:rPr>
          <w:lang w:val="en-US"/>
        </w:rPr>
        <w:br/>
        <w:t xml:space="preserve">• </w:t>
      </w:r>
      <w:r w:rsidRPr="002C4F59">
        <w:rPr>
          <w:rStyle w:val="af2"/>
          <w:lang w:val="en-US"/>
        </w:rPr>
        <w:t>Elevate Experience:</w:t>
      </w:r>
      <w:r w:rsidRPr="002C4F59">
        <w:rPr>
          <w:lang w:val="en-US"/>
        </w:rPr>
        <w:t xml:space="preserve"> only 25% systematically track employee satisfaction.</w:t>
      </w:r>
    </w:p>
    <w:p w14:paraId="71E1D7AF" w14:textId="77777777" w:rsidR="002C4F59" w:rsidRDefault="002C4F59" w:rsidP="002C4F59">
      <w:pPr>
        <w:pStyle w:val="isselectedend"/>
      </w:pPr>
    </w:p>
    <w:p w14:paraId="45B2EDBF" w14:textId="440AEAE3" w:rsidR="002C4F59" w:rsidRPr="002C4F59" w:rsidRDefault="002C4F59" w:rsidP="002C4F59">
      <w:pPr>
        <w:pStyle w:val="isselectedend"/>
      </w:pPr>
      <w:r>
        <w:br/>
      </w:r>
    </w:p>
    <w:p w14:paraId="7C579572" w14:textId="77777777" w:rsidR="002C4F59" w:rsidRPr="002C4F59" w:rsidRDefault="002C4F59" w:rsidP="002C4F59">
      <w:pPr>
        <w:pStyle w:val="af0"/>
        <w:rPr>
          <w:i/>
          <w:iCs/>
          <w:sz w:val="20"/>
          <w:szCs w:val="20"/>
          <w:lang w:val="en-US"/>
        </w:rPr>
      </w:pPr>
      <w:r w:rsidRPr="002C4F59">
        <w:rPr>
          <w:i/>
          <w:iCs/>
          <w:sz w:val="20"/>
          <w:szCs w:val="20"/>
          <w:lang w:val="en-US"/>
        </w:rPr>
        <w:t>Source: KPMG, “2025/2026 Global Mobility Benchmarking Report”, February 2026</w:t>
      </w:r>
      <w:r w:rsidRPr="002C4F59">
        <w:rPr>
          <w:i/>
          <w:iCs/>
          <w:sz w:val="20"/>
          <w:szCs w:val="20"/>
          <w:lang w:val="en-US"/>
        </w:rPr>
        <w:br/>
      </w:r>
      <w:hyperlink r:id="rId7" w:history="1">
        <w:r w:rsidRPr="002C4F59">
          <w:rPr>
            <w:rStyle w:val="a5"/>
            <w:i/>
            <w:iCs/>
            <w:sz w:val="20"/>
            <w:szCs w:val="20"/>
            <w:lang w:val="en-US"/>
          </w:rPr>
          <w:t>https://kpmg.com/uz/en/insights/2026/02/global-mobility-benchmarking-report.html</w:t>
        </w:r>
      </w:hyperlink>
    </w:p>
    <w:p w14:paraId="1A2E98E0" w14:textId="77777777" w:rsidR="00B67CE0" w:rsidRPr="002C4F59" w:rsidRDefault="00B67CE0" w:rsidP="00B67CE0">
      <w:pPr>
        <w:pStyle w:val="isselectedend"/>
        <w:rPr>
          <w:lang w:val="en-US"/>
        </w:rPr>
      </w:pPr>
    </w:p>
    <w:p w14:paraId="2B10E9E0" w14:textId="53653B0D" w:rsidR="00293A77" w:rsidRDefault="007719E0" w:rsidP="003337A5">
      <w:pPr>
        <w:rPr>
          <w:b/>
          <w:bCs/>
          <w:sz w:val="34"/>
          <w:szCs w:val="34"/>
        </w:rPr>
      </w:pPr>
      <w:r w:rsidRPr="003337A5">
        <w:br w:type="page"/>
      </w:r>
    </w:p>
    <w:p w14:paraId="5CB529B5" w14:textId="77777777" w:rsidR="002C4F59" w:rsidRDefault="002C4F59" w:rsidP="002C4F59">
      <w:pPr>
        <w:pStyle w:val="2"/>
      </w:pPr>
      <w:r>
        <w:lastRenderedPageBreak/>
        <w:t>EY: “Doing Business in Uzbekistan 2026”</w:t>
      </w:r>
    </w:p>
    <w:p w14:paraId="2D0DE809" w14:textId="77777777" w:rsidR="002C4F59" w:rsidRPr="002C4F59" w:rsidRDefault="002C4F59" w:rsidP="002C4F59">
      <w:pPr>
        <w:pStyle w:val="isselectedend"/>
        <w:rPr>
          <w:lang w:val="en-US"/>
        </w:rPr>
      </w:pPr>
      <w:r w:rsidRPr="002C4F59">
        <w:rPr>
          <w:lang w:val="en-US"/>
        </w:rPr>
        <w:t>In April 2026, EY published an updated guide for foreign investors, “Doing Business in Uzbekistan 2026” — a comprehensive guide to taxes and regulation, current as of January 1, 2026.</w:t>
      </w:r>
    </w:p>
    <w:p w14:paraId="098B6E99" w14:textId="77777777" w:rsidR="002C4F59" w:rsidRPr="002C4F59" w:rsidRDefault="002C4F59" w:rsidP="002C4F59">
      <w:pPr>
        <w:pStyle w:val="isselectedend"/>
        <w:rPr>
          <w:lang w:val="en-US"/>
        </w:rPr>
      </w:pPr>
      <w:r w:rsidRPr="002C4F59">
        <w:rPr>
          <w:lang w:val="en-US"/>
        </w:rPr>
        <w:t>Key data:</w:t>
      </w:r>
    </w:p>
    <w:p w14:paraId="451EA871" w14:textId="77777777" w:rsidR="002C4F59" w:rsidRPr="002C4F59" w:rsidRDefault="002C4F59" w:rsidP="002C4F59">
      <w:pPr>
        <w:pStyle w:val="isselectedend"/>
        <w:rPr>
          <w:lang w:val="en-US"/>
        </w:rPr>
      </w:pPr>
      <w:r w:rsidRPr="002C4F59">
        <w:rPr>
          <w:lang w:val="en-US"/>
        </w:rPr>
        <w:t>• Population: 38.2 million people</w:t>
      </w:r>
      <w:r w:rsidRPr="002C4F59">
        <w:rPr>
          <w:lang w:val="en-US"/>
        </w:rPr>
        <w:br/>
        <w:t>• USD/UZS exchange rate: 12,025.33 as of January 1, 2026</w:t>
      </w:r>
      <w:r w:rsidRPr="002C4F59">
        <w:rPr>
          <w:lang w:val="en-US"/>
        </w:rPr>
        <w:br/>
        <w:t>• Corporate income tax: 15% base rate; 20% for banks, telecommunications, cement and polyethylene; 7.5% for public catering</w:t>
      </w:r>
      <w:r w:rsidRPr="002C4F59">
        <w:rPr>
          <w:lang w:val="en-US"/>
        </w:rPr>
        <w:br/>
        <w:t>• VAT: 12%; exports — 0%; agricultural products — 0% from January 1, 2026</w:t>
      </w:r>
      <w:r w:rsidRPr="002C4F59">
        <w:rPr>
          <w:lang w:val="en-US"/>
        </w:rPr>
        <w:br/>
        <w:t>• Personal income tax: 12% flat rate</w:t>
      </w:r>
      <w:r w:rsidRPr="002C4F59">
        <w:rPr>
          <w:lang w:val="en-US"/>
        </w:rPr>
        <w:br/>
        <w:t>• Investment visa: from USD 3 million — residence permit for up to 10 years</w:t>
      </w:r>
      <w:r w:rsidRPr="002C4F59">
        <w:rPr>
          <w:lang w:val="en-US"/>
        </w:rPr>
        <w:br/>
        <w:t>• Visa-free regime: more than 80 countries, including the United States from January 1, 2026 — up to 30 days</w:t>
      </w:r>
      <w:r w:rsidRPr="002C4F59">
        <w:rPr>
          <w:lang w:val="en-US"/>
        </w:rPr>
        <w:br/>
        <w:t>• IT Park: 0% corporate income tax, VAT and social tax until 2028; for exporters — until 2040</w:t>
      </w:r>
    </w:p>
    <w:p w14:paraId="4430CE1E" w14:textId="77777777" w:rsidR="002C4F59" w:rsidRPr="002C4F59" w:rsidRDefault="002C4F59" w:rsidP="002C4F59">
      <w:pPr>
        <w:pStyle w:val="isselectedend"/>
        <w:rPr>
          <w:i/>
          <w:iCs/>
          <w:sz w:val="20"/>
          <w:szCs w:val="20"/>
          <w:lang w:val="en-US"/>
        </w:rPr>
      </w:pPr>
      <w:r w:rsidRPr="002C4F59">
        <w:rPr>
          <w:i/>
          <w:iCs/>
          <w:sz w:val="20"/>
          <w:szCs w:val="20"/>
          <w:lang w:val="en-US"/>
        </w:rPr>
        <w:t>Source: EY, “Doing Business in Uzbekistan 2026”, April 2026</w:t>
      </w:r>
      <w:r w:rsidRPr="002C4F59">
        <w:rPr>
          <w:i/>
          <w:iCs/>
          <w:sz w:val="20"/>
          <w:szCs w:val="20"/>
          <w:lang w:val="en-US"/>
        </w:rPr>
        <w:br/>
      </w:r>
      <w:hyperlink r:id="rId8" w:history="1">
        <w:r w:rsidRPr="002C4F59">
          <w:rPr>
            <w:rStyle w:val="a5"/>
            <w:i/>
            <w:iCs/>
            <w:sz w:val="20"/>
            <w:szCs w:val="20"/>
            <w:lang w:val="en-US"/>
          </w:rPr>
          <w:t>https://www.ey.com/content/dam/ey-unified-site/ey-com/en-uz/documents/ey-doing-business-uz-2026.pdf</w:t>
        </w:r>
      </w:hyperlink>
    </w:p>
    <w:p w14:paraId="1F60314A" w14:textId="77777777" w:rsidR="002C4F59" w:rsidRDefault="002C4F59" w:rsidP="002C4F59">
      <w:r>
        <w:pict w14:anchorId="6C15AD50">
          <v:rect id="_x0000_i1121" style="width:0;height:1.5pt" o:hralign="center" o:hrstd="t" o:hr="t" fillcolor="#a0a0a0" stroked="f"/>
        </w:pict>
      </w:r>
    </w:p>
    <w:p w14:paraId="484F95EF" w14:textId="77777777" w:rsidR="002C4F59" w:rsidRDefault="002C4F59" w:rsidP="002C4F59">
      <w:pPr>
        <w:pStyle w:val="2"/>
      </w:pPr>
      <w:r>
        <w:t>KPMG: “Banking and Capital Markets — CEO Outlook”</w:t>
      </w:r>
    </w:p>
    <w:p w14:paraId="3037D88D" w14:textId="77777777" w:rsidR="002C4F59" w:rsidRPr="002C4F59" w:rsidRDefault="002C4F59" w:rsidP="002C4F59">
      <w:pPr>
        <w:pStyle w:val="isselectedend"/>
        <w:rPr>
          <w:lang w:val="en-US"/>
        </w:rPr>
      </w:pPr>
      <w:r w:rsidRPr="002C4F59">
        <w:rPr>
          <w:lang w:val="en-US"/>
        </w:rPr>
        <w:t>KPMG published on the KPMG Uzbekistan website in March 2026 a localized version of a global survey of 1,350 CEOs, including 110 leaders from banking and capital markets.</w:t>
      </w:r>
    </w:p>
    <w:p w14:paraId="697B742F" w14:textId="77777777" w:rsidR="002C4F59" w:rsidRPr="002C4F59" w:rsidRDefault="002C4F59" w:rsidP="002C4F59">
      <w:pPr>
        <w:pStyle w:val="isselectedend"/>
        <w:rPr>
          <w:lang w:val="en-US"/>
        </w:rPr>
      </w:pPr>
      <w:r w:rsidRPr="002C4F59">
        <w:rPr>
          <w:lang w:val="en-US"/>
        </w:rPr>
        <w:t>Key findings:</w:t>
      </w:r>
    </w:p>
    <w:p w14:paraId="40251C8B" w14:textId="77777777" w:rsidR="002C4F59" w:rsidRPr="002C4F59" w:rsidRDefault="002C4F59" w:rsidP="002C4F59">
      <w:pPr>
        <w:pStyle w:val="isselectedend"/>
        <w:rPr>
          <w:lang w:val="en-US"/>
        </w:rPr>
      </w:pPr>
      <w:r w:rsidRPr="002C4F59">
        <w:rPr>
          <w:lang w:val="en-US"/>
        </w:rPr>
        <w:t>• 83% of banking CEOs are confident about growth prospects</w:t>
      </w:r>
      <w:r w:rsidRPr="002C4F59">
        <w:rPr>
          <w:lang w:val="en-US"/>
        </w:rPr>
        <w:br/>
        <w:t>• 65% consider AI a priority area for investment</w:t>
      </w:r>
      <w:r w:rsidRPr="002C4F59">
        <w:rPr>
          <w:lang w:val="en-US"/>
        </w:rPr>
        <w:br/>
        <w:t>• 69% expect AI ROI within 1–3 years</w:t>
      </w:r>
      <w:r w:rsidRPr="002C4F59">
        <w:rPr>
          <w:lang w:val="en-US"/>
        </w:rPr>
        <w:br/>
        <w:t>• 86% identify cyber risk as the key factor affecting growth</w:t>
      </w:r>
    </w:p>
    <w:p w14:paraId="6AC4E8CB" w14:textId="77777777" w:rsidR="002C4F59" w:rsidRPr="002C4F59" w:rsidRDefault="002C4F59" w:rsidP="002C4F59">
      <w:pPr>
        <w:pStyle w:val="isselectedend"/>
        <w:rPr>
          <w:i/>
          <w:iCs/>
          <w:sz w:val="20"/>
          <w:szCs w:val="20"/>
          <w:lang w:val="en-US"/>
        </w:rPr>
      </w:pPr>
      <w:r w:rsidRPr="002C4F59">
        <w:rPr>
          <w:i/>
          <w:iCs/>
          <w:sz w:val="20"/>
          <w:szCs w:val="20"/>
          <w:lang w:val="en-US"/>
        </w:rPr>
        <w:t>Source: KPMG, “Banking and Capital Markets: CEO Outlook”, March 2026</w:t>
      </w:r>
      <w:r w:rsidRPr="002C4F59">
        <w:rPr>
          <w:i/>
          <w:iCs/>
          <w:sz w:val="20"/>
          <w:szCs w:val="20"/>
          <w:lang w:val="en-US"/>
        </w:rPr>
        <w:br/>
      </w:r>
      <w:hyperlink r:id="rId9" w:history="1">
        <w:r w:rsidRPr="002C4F59">
          <w:rPr>
            <w:rStyle w:val="a5"/>
            <w:i/>
            <w:iCs/>
            <w:sz w:val="20"/>
            <w:szCs w:val="20"/>
            <w:lang w:val="en-US"/>
          </w:rPr>
          <w:t>https://kpmg.com/uz/en/insights/2026/03/banking-and-capital-markets.html</w:t>
        </w:r>
      </w:hyperlink>
    </w:p>
    <w:p w14:paraId="1F23ADF5" w14:textId="77777777" w:rsidR="002C4F59" w:rsidRDefault="002C4F59" w:rsidP="002C4F59">
      <w:r>
        <w:pict w14:anchorId="16A6C376">
          <v:rect id="_x0000_i1122" style="width:0;height:1.5pt" o:hralign="center" o:hrstd="t" o:hr="t" fillcolor="#a0a0a0" stroked="f"/>
        </w:pict>
      </w:r>
    </w:p>
    <w:p w14:paraId="36D54D5F" w14:textId="77777777" w:rsidR="002C4F59" w:rsidRDefault="002C4F59" w:rsidP="002C4F59">
      <w:pPr>
        <w:pStyle w:val="2"/>
      </w:pPr>
      <w:r>
        <w:t>Tax Reform: VAT Threshold Increased Fivefold, June 2026</w:t>
      </w:r>
    </w:p>
    <w:p w14:paraId="30060649" w14:textId="77777777" w:rsidR="002C4F59" w:rsidRPr="002C4F59" w:rsidRDefault="002C4F59" w:rsidP="002C4F59">
      <w:pPr>
        <w:pStyle w:val="isselectedend"/>
        <w:rPr>
          <w:lang w:val="en-US"/>
        </w:rPr>
      </w:pPr>
      <w:r w:rsidRPr="002C4F59">
        <w:rPr>
          <w:lang w:val="en-US"/>
        </w:rPr>
        <w:t>From June 1, 2026, the threshold for mandatory transition to VAT and corporate income tax was raised from UZS 1 billion to UZS 5 billion. This is the largest change in the tax regime for small businesses since 2019.</w:t>
      </w:r>
    </w:p>
    <w:p w14:paraId="722BF103" w14:textId="77777777" w:rsidR="002C4F59" w:rsidRPr="002C4F59" w:rsidRDefault="002C4F59" w:rsidP="002C4F59">
      <w:pPr>
        <w:pStyle w:val="isselectedend"/>
        <w:rPr>
          <w:lang w:val="en-US"/>
        </w:rPr>
      </w:pPr>
      <w:r w:rsidRPr="002C4F59">
        <w:rPr>
          <w:lang w:val="en-US"/>
        </w:rPr>
        <w:lastRenderedPageBreak/>
        <w:t>At the same time, a voluntary simplified VAT rate of 6% was introduced for public catering, retail and the service sector as an alternative to the standard 12% rate. When choosing the 6% rate, an entrepreneur is exempt from corporate income tax.</w:t>
      </w:r>
    </w:p>
    <w:p w14:paraId="1AC9FFC5" w14:textId="77777777" w:rsidR="002C4F59" w:rsidRPr="002C4F59" w:rsidRDefault="002C4F59" w:rsidP="002C4F59">
      <w:pPr>
        <w:pStyle w:val="isselectedend"/>
        <w:rPr>
          <w:lang w:val="en-US"/>
        </w:rPr>
      </w:pPr>
      <w:r w:rsidRPr="002C4F59">
        <w:rPr>
          <w:lang w:val="en-US"/>
        </w:rPr>
        <w:t>For businesses, this means that thousands of small enterprises with turnover of up to UZS 5 billion are no longer required to switch to VAT. This removes the incentive for artificial business fragmentation and helps reduce the share of the shadow economy.</w:t>
      </w:r>
    </w:p>
    <w:p w14:paraId="5265EFD3" w14:textId="77777777" w:rsidR="002C4F59" w:rsidRPr="002C4F59" w:rsidRDefault="002C4F59" w:rsidP="002C4F59">
      <w:pPr>
        <w:pStyle w:val="isselectedend"/>
        <w:rPr>
          <w:lang w:val="en-US"/>
        </w:rPr>
      </w:pPr>
      <w:r w:rsidRPr="002C4F59">
        <w:rPr>
          <w:lang w:val="en-US"/>
        </w:rPr>
        <w:t>Sources: Gazeta.uz, May 29, 2026; PwC Tax Summaries, Republic of Uzbekistan, updated in 2026</w:t>
      </w:r>
    </w:p>
    <w:p w14:paraId="2BAE4187" w14:textId="77777777" w:rsidR="002C4F59" w:rsidRDefault="002C4F59" w:rsidP="002C4F59">
      <w:r>
        <w:pict w14:anchorId="16A540D7">
          <v:rect id="_x0000_i1123" style="width:0;height:1.5pt" o:hralign="center" o:hrstd="t" o:hr="t" fillcolor="#a0a0a0" stroked="f"/>
        </w:pict>
      </w:r>
    </w:p>
    <w:p w14:paraId="5714A3A5" w14:textId="77777777" w:rsidR="002C4F59" w:rsidRDefault="002C4F59" w:rsidP="002C4F59">
      <w:pPr>
        <w:pStyle w:val="2"/>
      </w:pPr>
      <w:r>
        <w:t>Disclaimer</w:t>
      </w:r>
    </w:p>
    <w:p w14:paraId="4DD6D558" w14:textId="77777777" w:rsidR="002C4F59" w:rsidRPr="002C4F59" w:rsidRDefault="002C4F59" w:rsidP="002C4F59">
      <w:pPr>
        <w:pStyle w:val="af0"/>
        <w:rPr>
          <w:lang w:val="en-US"/>
        </w:rPr>
      </w:pPr>
      <w:r w:rsidRPr="002C4F59">
        <w:rPr>
          <w:lang w:val="en-US"/>
        </w:rPr>
        <w:t>This material is for informational purposes only and does not constitute investment, tax or legal advice. All data is based exclusively on official publications of the organizations mentioned. Before making any decisions, it is recommended to consult professional advisers.</w:t>
      </w:r>
    </w:p>
    <w:p w14:paraId="125FC7E8" w14:textId="3C94EAE5" w:rsidR="00293A77" w:rsidRPr="00B67CE0" w:rsidRDefault="00293A77" w:rsidP="002C4F59">
      <w:pPr>
        <w:pStyle w:val="2"/>
      </w:pPr>
    </w:p>
    <w:sectPr w:rsidR="00293A77" w:rsidRPr="00B67CE0">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04CE" w14:textId="77777777" w:rsidR="008D53C5" w:rsidRDefault="008D53C5">
      <w:r>
        <w:separator/>
      </w:r>
    </w:p>
  </w:endnote>
  <w:endnote w:type="continuationSeparator" w:id="0">
    <w:p w14:paraId="18E414F7" w14:textId="77777777" w:rsidR="008D53C5" w:rsidRDefault="008D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F050" w14:textId="77777777" w:rsidR="00293A77" w:rsidRDefault="007719E0">
    <w:pPr>
      <w:pBdr>
        <w:top w:val="single" w:sz="1" w:space="4" w:color="CCCCCC"/>
      </w:pBdr>
      <w:jc w:val="center"/>
    </w:pPr>
    <w:proofErr w:type="spellStart"/>
    <w:r>
      <w:rPr>
        <w:color w:val="999999"/>
        <w:sz w:val="16"/>
        <w:szCs w:val="16"/>
      </w:rPr>
      <w:t>Стр</w:t>
    </w:r>
    <w:proofErr w:type="spellEnd"/>
    <w:r>
      <w:rPr>
        <w:color w:val="999999"/>
        <w:sz w:val="16"/>
        <w:szCs w:val="16"/>
      </w:rPr>
      <w:t xml:space="preserve">. </w:t>
    </w:r>
    <w:r>
      <w:rPr>
        <w:color w:val="999999"/>
        <w:sz w:val="16"/>
        <w:szCs w:val="16"/>
      </w:rPr>
      <w:fldChar w:fldCharType="begin"/>
    </w:r>
    <w:r>
      <w:rPr>
        <w:color w:val="999999"/>
        <w:sz w:val="16"/>
        <w:szCs w:val="16"/>
      </w:rPr>
      <w:instrText>PAGE</w:instrText>
    </w:r>
    <w:r>
      <w:rPr>
        <w:color w:val="999999"/>
        <w:sz w:val="16"/>
        <w:szCs w:val="16"/>
      </w:rPr>
      <w:fldChar w:fldCharType="separate"/>
    </w:r>
    <w:r w:rsidR="003337A5">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260A" w14:textId="77777777" w:rsidR="008D53C5" w:rsidRDefault="008D53C5">
      <w:r>
        <w:separator/>
      </w:r>
    </w:p>
  </w:footnote>
  <w:footnote w:type="continuationSeparator" w:id="0">
    <w:p w14:paraId="7BFF9605" w14:textId="77777777" w:rsidR="008D53C5" w:rsidRDefault="008D5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21248" w14:textId="77777777" w:rsidR="00293A77" w:rsidRPr="003337A5" w:rsidRDefault="007719E0">
    <w:pPr>
      <w:pBdr>
        <w:bottom w:val="single" w:sz="2" w:space="4" w:color="1B4F72"/>
      </w:pBdr>
      <w:jc w:val="right"/>
      <w:rPr>
        <w:lang w:val="ru-RU"/>
      </w:rPr>
    </w:pPr>
    <w:r w:rsidRPr="003337A5">
      <w:rPr>
        <w:i/>
        <w:iCs/>
        <w:color w:val="999999"/>
        <w:sz w:val="16"/>
        <w:szCs w:val="16"/>
        <w:lang w:val="ru-RU"/>
      </w:rPr>
      <w:t xml:space="preserve">Рынок Узбекистана — Аналитика консалтинговых компаний </w:t>
    </w:r>
    <w:r>
      <w:rPr>
        <w:i/>
        <w:iCs/>
        <w:color w:val="999999"/>
        <w:sz w:val="16"/>
        <w:szCs w:val="16"/>
      </w:rPr>
      <w:t>H</w:t>
    </w:r>
    <w:r w:rsidRPr="003337A5">
      <w:rPr>
        <w:i/>
        <w:iCs/>
        <w:color w:val="999999"/>
        <w:sz w:val="16"/>
        <w:szCs w:val="16"/>
        <w:lang w:val="ru-RU"/>
      </w:rPr>
      <w:t>1 2026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453"/>
    <w:multiLevelType w:val="hybridMultilevel"/>
    <w:tmpl w:val="89449278"/>
    <w:lvl w:ilvl="0" w:tplc="AFDE696C">
      <w:start w:val="1"/>
      <w:numFmt w:val="bullet"/>
      <w:lvlText w:val="●"/>
      <w:lvlJc w:val="left"/>
      <w:pPr>
        <w:ind w:left="720" w:hanging="360"/>
      </w:pPr>
    </w:lvl>
    <w:lvl w:ilvl="1" w:tplc="E0A816E6">
      <w:start w:val="1"/>
      <w:numFmt w:val="bullet"/>
      <w:lvlText w:val="○"/>
      <w:lvlJc w:val="left"/>
      <w:pPr>
        <w:ind w:left="1440" w:hanging="360"/>
      </w:pPr>
    </w:lvl>
    <w:lvl w:ilvl="2" w:tplc="FE98C006">
      <w:start w:val="1"/>
      <w:numFmt w:val="bullet"/>
      <w:lvlText w:val="■"/>
      <w:lvlJc w:val="left"/>
      <w:pPr>
        <w:ind w:left="2160" w:hanging="360"/>
      </w:pPr>
    </w:lvl>
    <w:lvl w:ilvl="3" w:tplc="33D6EFF2">
      <w:start w:val="1"/>
      <w:numFmt w:val="bullet"/>
      <w:lvlText w:val="●"/>
      <w:lvlJc w:val="left"/>
      <w:pPr>
        <w:ind w:left="2880" w:hanging="360"/>
      </w:pPr>
    </w:lvl>
    <w:lvl w:ilvl="4" w:tplc="CAB893E2">
      <w:start w:val="1"/>
      <w:numFmt w:val="bullet"/>
      <w:lvlText w:val="○"/>
      <w:lvlJc w:val="left"/>
      <w:pPr>
        <w:ind w:left="3600" w:hanging="360"/>
      </w:pPr>
    </w:lvl>
    <w:lvl w:ilvl="5" w:tplc="B3CE6A38">
      <w:start w:val="1"/>
      <w:numFmt w:val="bullet"/>
      <w:lvlText w:val="■"/>
      <w:lvlJc w:val="left"/>
      <w:pPr>
        <w:ind w:left="4320" w:hanging="360"/>
      </w:pPr>
    </w:lvl>
    <w:lvl w:ilvl="6" w:tplc="60C83CFA">
      <w:start w:val="1"/>
      <w:numFmt w:val="bullet"/>
      <w:lvlText w:val="●"/>
      <w:lvlJc w:val="left"/>
      <w:pPr>
        <w:ind w:left="5040" w:hanging="360"/>
      </w:pPr>
    </w:lvl>
    <w:lvl w:ilvl="7" w:tplc="BF465348">
      <w:start w:val="1"/>
      <w:numFmt w:val="bullet"/>
      <w:lvlText w:val="●"/>
      <w:lvlJc w:val="left"/>
      <w:pPr>
        <w:ind w:left="5760" w:hanging="360"/>
      </w:pPr>
    </w:lvl>
    <w:lvl w:ilvl="8" w:tplc="7688C172">
      <w:start w:val="1"/>
      <w:numFmt w:val="bullet"/>
      <w:lvlText w:val="●"/>
      <w:lvlJc w:val="left"/>
      <w:pPr>
        <w:ind w:left="6480" w:hanging="360"/>
      </w:pPr>
    </w:lvl>
  </w:abstractNum>
  <w:abstractNum w:abstractNumId="1" w15:restartNumberingAfterBreak="0">
    <w:nsid w:val="310B2457"/>
    <w:multiLevelType w:val="hybridMultilevel"/>
    <w:tmpl w:val="B4026592"/>
    <w:lvl w:ilvl="0" w:tplc="F84046DE">
      <w:start w:val="1"/>
      <w:numFmt w:val="bullet"/>
      <w:lvlText w:val="•"/>
      <w:lvlJc w:val="left"/>
      <w:pPr>
        <w:ind w:left="720" w:hanging="360"/>
      </w:pPr>
    </w:lvl>
    <w:lvl w:ilvl="1" w:tplc="3E4AEB2C">
      <w:numFmt w:val="decimal"/>
      <w:lvlText w:val=""/>
      <w:lvlJc w:val="left"/>
    </w:lvl>
    <w:lvl w:ilvl="2" w:tplc="8500B37E">
      <w:numFmt w:val="decimal"/>
      <w:lvlText w:val=""/>
      <w:lvlJc w:val="left"/>
    </w:lvl>
    <w:lvl w:ilvl="3" w:tplc="5796708C">
      <w:numFmt w:val="decimal"/>
      <w:lvlText w:val=""/>
      <w:lvlJc w:val="left"/>
    </w:lvl>
    <w:lvl w:ilvl="4" w:tplc="1354DBA6">
      <w:numFmt w:val="decimal"/>
      <w:lvlText w:val=""/>
      <w:lvlJc w:val="left"/>
    </w:lvl>
    <w:lvl w:ilvl="5" w:tplc="32FA314E">
      <w:numFmt w:val="decimal"/>
      <w:lvlText w:val=""/>
      <w:lvlJc w:val="left"/>
    </w:lvl>
    <w:lvl w:ilvl="6" w:tplc="C246B2F4">
      <w:numFmt w:val="decimal"/>
      <w:lvlText w:val=""/>
      <w:lvlJc w:val="left"/>
    </w:lvl>
    <w:lvl w:ilvl="7" w:tplc="C2EC7E4E">
      <w:numFmt w:val="decimal"/>
      <w:lvlText w:val=""/>
      <w:lvlJc w:val="left"/>
    </w:lvl>
    <w:lvl w:ilvl="8" w:tplc="0980B090">
      <w:numFmt w:val="decimal"/>
      <w:lvlText w:val=""/>
      <w:lvlJc w:val="left"/>
    </w:lvl>
  </w:abstractNum>
  <w:num w:numId="1" w16cid:durableId="1072388366">
    <w:abstractNumId w:val="0"/>
    <w:lvlOverride w:ilvl="0">
      <w:startOverride w:val="1"/>
    </w:lvlOverride>
  </w:num>
  <w:num w:numId="2" w16cid:durableId="17284565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77"/>
    <w:rsid w:val="002404E3"/>
    <w:rsid w:val="00293A77"/>
    <w:rsid w:val="002C4F59"/>
    <w:rsid w:val="002D51E6"/>
    <w:rsid w:val="003337A5"/>
    <w:rsid w:val="007719E0"/>
    <w:rsid w:val="008D53C5"/>
    <w:rsid w:val="00B67CE0"/>
    <w:rsid w:val="00DA30F9"/>
    <w:rsid w:val="00F9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1D57"/>
  <w15:docId w15:val="{1B7E5675-ABFF-4DE8-B73D-D6B8D0C5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60" w:after="200"/>
      <w:outlineLvl w:val="0"/>
    </w:pPr>
    <w:rPr>
      <w:b/>
      <w:bCs/>
      <w:color w:val="1B4F72"/>
      <w:sz w:val="34"/>
      <w:szCs w:val="34"/>
    </w:rPr>
  </w:style>
  <w:style w:type="paragraph" w:styleId="2">
    <w:name w:val="heading 2"/>
    <w:uiPriority w:val="9"/>
    <w:unhideWhenUsed/>
    <w:qFormat/>
    <w:pPr>
      <w:spacing w:before="280" w:after="160"/>
      <w:outlineLvl w:val="1"/>
    </w:pPr>
    <w:rPr>
      <w:b/>
      <w:bCs/>
      <w:color w:val="1B4F72"/>
      <w:sz w:val="28"/>
      <w:szCs w:val="28"/>
    </w:rPr>
  </w:style>
  <w:style w:type="paragraph" w:styleId="3">
    <w:name w:val="heading 3"/>
    <w:uiPriority w:val="9"/>
    <w:unhideWhenUsed/>
    <w:qFormat/>
    <w:pPr>
      <w:spacing w:before="240" w:after="120"/>
      <w:outlineLvl w:val="2"/>
    </w:pPr>
    <w:rPr>
      <w:b/>
      <w:bCs/>
      <w:color w:val="2C3E50"/>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paragraph" w:styleId="ac">
    <w:name w:val="header"/>
    <w:basedOn w:val="a"/>
    <w:link w:val="ad"/>
    <w:uiPriority w:val="99"/>
    <w:unhideWhenUsed/>
    <w:rsid w:val="003337A5"/>
    <w:pPr>
      <w:tabs>
        <w:tab w:val="center" w:pos="4844"/>
        <w:tab w:val="right" w:pos="9689"/>
      </w:tabs>
    </w:pPr>
  </w:style>
  <w:style w:type="character" w:customStyle="1" w:styleId="ad">
    <w:name w:val="Верхний колонтитул Знак"/>
    <w:basedOn w:val="a0"/>
    <w:link w:val="ac"/>
    <w:uiPriority w:val="99"/>
    <w:rsid w:val="003337A5"/>
  </w:style>
  <w:style w:type="paragraph" w:styleId="ae">
    <w:name w:val="footer"/>
    <w:basedOn w:val="a"/>
    <w:link w:val="af"/>
    <w:uiPriority w:val="99"/>
    <w:unhideWhenUsed/>
    <w:rsid w:val="003337A5"/>
    <w:pPr>
      <w:tabs>
        <w:tab w:val="center" w:pos="4844"/>
        <w:tab w:val="right" w:pos="9689"/>
      </w:tabs>
    </w:pPr>
  </w:style>
  <w:style w:type="character" w:customStyle="1" w:styleId="af">
    <w:name w:val="Нижний колонтитул Знак"/>
    <w:basedOn w:val="a0"/>
    <w:link w:val="ae"/>
    <w:uiPriority w:val="99"/>
    <w:rsid w:val="003337A5"/>
  </w:style>
  <w:style w:type="paragraph" w:customStyle="1" w:styleId="isselectedend">
    <w:name w:val="isselectedend"/>
    <w:basedOn w:val="a"/>
    <w:rsid w:val="00B67CE0"/>
    <w:pPr>
      <w:spacing w:before="100" w:beforeAutospacing="1" w:after="100" w:afterAutospacing="1"/>
    </w:pPr>
    <w:rPr>
      <w:rFonts w:ascii="Times New Roman" w:eastAsia="Times New Roman" w:hAnsi="Times New Roman" w:cs="Times New Roman"/>
      <w:sz w:val="24"/>
      <w:szCs w:val="24"/>
      <w:lang w:val="ru-RU" w:eastAsia="ru-RU"/>
    </w:rPr>
  </w:style>
  <w:style w:type="paragraph" w:styleId="af0">
    <w:name w:val="Normal (Web)"/>
    <w:basedOn w:val="a"/>
    <w:uiPriority w:val="99"/>
    <w:semiHidden/>
    <w:unhideWhenUsed/>
    <w:rsid w:val="00B67CE0"/>
    <w:pPr>
      <w:spacing w:before="100" w:beforeAutospacing="1" w:after="100" w:afterAutospacing="1"/>
    </w:pPr>
    <w:rPr>
      <w:rFonts w:ascii="Times New Roman" w:eastAsia="Times New Roman" w:hAnsi="Times New Roman" w:cs="Times New Roman"/>
      <w:sz w:val="24"/>
      <w:szCs w:val="24"/>
      <w:lang w:val="ru-RU" w:eastAsia="ru-RU"/>
    </w:rPr>
  </w:style>
  <w:style w:type="character" w:styleId="af1">
    <w:name w:val="Unresolved Mention"/>
    <w:basedOn w:val="a0"/>
    <w:uiPriority w:val="99"/>
    <w:semiHidden/>
    <w:unhideWhenUsed/>
    <w:rsid w:val="00B67CE0"/>
    <w:rPr>
      <w:color w:val="605E5C"/>
      <w:shd w:val="clear" w:color="auto" w:fill="E1DFDD"/>
    </w:rPr>
  </w:style>
  <w:style w:type="character" w:styleId="af2">
    <w:name w:val="Strong"/>
    <w:basedOn w:val="a0"/>
    <w:uiPriority w:val="22"/>
    <w:qFormat/>
    <w:rsid w:val="00B67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y.com/content/dam/ey-unified-site/ey-com/en-uz/documents/ey-doing-business-uz-20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pmg.com/uz/en/insights/2026/02/global-mobility-benchmarking-repor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pmg.com/uz/en/insights/2026/03/banking-and-capital-mark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1088</Words>
  <Characters>6206</Characters>
  <Application>Microsoft Office Word</Application>
  <DocSecurity>0</DocSecurity>
  <Lines>51</Lines>
  <Paragraphs>14</Paragraphs>
  <ScaleCrop>false</ScaleCrop>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Kamilla M. Kadirova</cp:lastModifiedBy>
  <cp:revision>3</cp:revision>
  <dcterms:created xsi:type="dcterms:W3CDTF">2026-07-02T07:03:00Z</dcterms:created>
  <dcterms:modified xsi:type="dcterms:W3CDTF">2026-07-02T07:15:00Z</dcterms:modified>
</cp:coreProperties>
</file>